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4A" w:rsidRPr="00404C4A" w:rsidRDefault="00563353" w:rsidP="00404C4A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Quy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định</w:t>
      </w:r>
      <w:proofErr w:type="spellEnd"/>
      <w:r w:rsid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của</w:t>
      </w:r>
      <w:proofErr w:type="spellEnd"/>
      <w:r w:rsid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ABS </w:t>
      </w:r>
      <w:proofErr w:type="spellStart"/>
      <w:r w:rsid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về</w:t>
      </w:r>
      <w:proofErr w:type="spellEnd"/>
      <w:r w:rsid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Pin Lithium-Ion </w:t>
      </w:r>
      <w:proofErr w:type="spellStart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trong</w:t>
      </w:r>
      <w:proofErr w:type="spellEnd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ngành</w:t>
      </w:r>
      <w:proofErr w:type="spellEnd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công</w:t>
      </w:r>
      <w:proofErr w:type="spellEnd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nghiệp</w:t>
      </w:r>
      <w:proofErr w:type="spellEnd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hàng</w:t>
      </w:r>
      <w:proofErr w:type="spellEnd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hải</w:t>
      </w:r>
      <w:proofErr w:type="spellEnd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và</w:t>
      </w:r>
      <w:proofErr w:type="spellEnd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ngoài</w:t>
      </w:r>
      <w:proofErr w:type="spellEnd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404C4A" w:rsidRPr="00404C4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khơi</w:t>
      </w:r>
      <w:proofErr w:type="spellEnd"/>
    </w:p>
    <w:p w:rsidR="00404C4A" w:rsidRPr="00404C4A" w:rsidRDefault="00404C4A" w:rsidP="00404C4A">
      <w:pPr>
        <w:spacing w:before="120" w:after="120" w:line="240" w:lineRule="auto"/>
        <w:jc w:val="right"/>
        <w:rPr>
          <w:rFonts w:ascii="Arial" w:eastAsia="Times New Roman" w:hAnsi="Arial" w:cs="Arial"/>
          <w:color w:val="444444"/>
          <w:sz w:val="24"/>
          <w:szCs w:val="24"/>
        </w:rPr>
      </w:pPr>
      <w:r w:rsidRPr="00404C4A">
        <w:rPr>
          <w:rFonts w:ascii="Arial" w:eastAsia="Times New Roman" w:hAnsi="Arial" w:cs="Arial"/>
          <w:color w:val="444444"/>
          <w:sz w:val="24"/>
          <w:szCs w:val="24"/>
        </w:rPr>
        <w:t>Theo  </w:t>
      </w:r>
      <w:hyperlink r:id="rId4" w:history="1">
        <w:proofErr w:type="spellStart"/>
        <w:r w:rsidRPr="00404C4A">
          <w:rPr>
            <w:rFonts w:ascii="Arial" w:eastAsia="Times New Roman" w:hAnsi="Arial" w:cs="Arial"/>
            <w:b/>
            <w:bCs/>
            <w:color w:val="005689"/>
            <w:sz w:val="24"/>
            <w:szCs w:val="24"/>
          </w:rPr>
          <w:t>maritimecyprus</w:t>
        </w:r>
        <w:proofErr w:type="spellEnd"/>
      </w:hyperlink>
    </w:p>
    <w:p w:rsidR="00404C4A" w:rsidRPr="00404C4A" w:rsidRDefault="00404C4A" w:rsidP="00404C4A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404C4A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896610" cy="2987040"/>
            <wp:effectExtent l="0" t="0" r="8890" b="3810"/>
            <wp:docPr id="2" name="Picture 2" descr="https://maritimecyprus.com/wp-content/uploads/2024/04/Lithium-Ion-batteries-MC-696x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4/Lithium-Ion-batteries-MC-696x3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864" cy="299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4A" w:rsidRPr="00404C4A" w:rsidRDefault="00404C4A" w:rsidP="00404C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ích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lithium-ion (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Liion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MOU)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chẳng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an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thước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vỏ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4C4A" w:rsidRDefault="00404C4A" w:rsidP="00404C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Lithium-ion được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xách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bảng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radio.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lithium-ion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oxit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coban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lithium-ion,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oxit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mangan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lithium-ion,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oxit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coban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mangan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lithium-ion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niken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oxit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coban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lithium-ion,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photphat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sắt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lithium-ion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titanat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lithium-ion).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axit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chì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kiềm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10/11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siêu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4C4A" w:rsidRPr="00404C4A" w:rsidRDefault="00404C4A" w:rsidP="00404C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học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pin. 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minh được,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ABS.</w:t>
      </w:r>
    </w:p>
    <w:p w:rsidR="00404C4A" w:rsidRPr="00404C4A" w:rsidRDefault="00404C4A" w:rsidP="00404C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lastRenderedPageBreak/>
        <w:t>Phiên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liền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móc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Ấn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"Pin lithium"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"Pin lithium-ion"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dung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pin, an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nổ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4C4A" w:rsidRPr="00404C4A" w:rsidRDefault="00404C4A" w:rsidP="00404C4A">
      <w:pPr>
        <w:spacing w:after="120" w:line="240" w:lineRule="auto"/>
        <w:jc w:val="center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404C4A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4373245" cy="4046220"/>
            <wp:effectExtent l="0" t="0" r="8255" b="0"/>
            <wp:docPr id="1" name="Picture 1" descr="https://maritimecyprus.com/wp-content/uploads/2024/05/Lithium-Ion-batteries22-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24/05/Lithium-Ion-batteries22-M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988" cy="40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4A" w:rsidRPr="00404C4A" w:rsidRDefault="00404C4A" w:rsidP="003D59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3D5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="003D5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="003D5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935">
        <w:rPr>
          <w:rFonts w:ascii="Times New Roman" w:eastAsia="Times New Roman" w:hAnsi="Times New Roman" w:cs="Times New Roman"/>
          <w:sz w:val="24"/>
          <w:szCs w:val="24"/>
        </w:rPr>
        <w:t xml:space="preserve">GCN 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tùy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1-1-4/1.5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1)).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lithium-ion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="003D5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3D5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lithium-ion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404C4A" w:rsidRPr="00404C4A" w:rsidRDefault="00404C4A" w:rsidP="003D59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suốt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25 kWh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20 kWh.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Lithium-ion,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gió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thiệu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pin, an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nổ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935" w:rsidRDefault="00404C4A" w:rsidP="003D59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ABS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Pin Lithium-Ion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sẵn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4C4A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935"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="003D5935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04C4A">
        <w:rPr>
          <w:rFonts w:ascii="Times New Roman" w:eastAsia="Times New Roman" w:hAnsi="Times New Roman" w:cs="Times New Roman"/>
          <w:sz w:val="24"/>
          <w:szCs w:val="24"/>
        </w:rPr>
        <w:t>:</w:t>
      </w:r>
      <w:r w:rsidR="003D5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4CAA" w:rsidRDefault="00404C4A" w:rsidP="003D5935">
      <w:pPr>
        <w:spacing w:after="120" w:line="240" w:lineRule="auto"/>
        <w:jc w:val="both"/>
        <w:rPr>
          <w:sz w:val="24"/>
          <w:szCs w:val="24"/>
        </w:rPr>
      </w:pPr>
      <w:hyperlink r:id="rId7" w:history="1">
        <w:r w:rsidRPr="003D5935">
          <w:rPr>
            <w:rStyle w:val="Hyperlink"/>
            <w:sz w:val="24"/>
            <w:szCs w:val="24"/>
          </w:rPr>
          <w:t>https://maritimecyprus.com/wp-content/uploads/2024/04/ABS-RequirementsforUseofLithium-ionBatteries.pdf</w:t>
        </w:r>
      </w:hyperlink>
    </w:p>
    <w:p w:rsidR="003D5935" w:rsidRPr="003D5935" w:rsidRDefault="003D5935" w:rsidP="003D5935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</w:t>
      </w:r>
    </w:p>
    <w:p w:rsidR="00404C4A" w:rsidRDefault="00404C4A"/>
    <w:sectPr w:rsidR="00404C4A" w:rsidSect="003D5935"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4A"/>
    <w:rsid w:val="003D5935"/>
    <w:rsid w:val="00404C4A"/>
    <w:rsid w:val="00563353"/>
    <w:rsid w:val="00B5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9DCC"/>
  <w15:chartTrackingRefBased/>
  <w15:docId w15:val="{4D68ABAD-134A-485D-A3B4-DDC4095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4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C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4C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04C4A"/>
    <w:rPr>
      <w:color w:val="0000FF"/>
      <w:u w:val="single"/>
    </w:rPr>
  </w:style>
  <w:style w:type="character" w:customStyle="1" w:styleId="td-post-date">
    <w:name w:val="td-post-date"/>
    <w:basedOn w:val="DefaultParagraphFont"/>
    <w:rsid w:val="00404C4A"/>
  </w:style>
  <w:style w:type="character" w:customStyle="1" w:styleId="td-nr-views-37710">
    <w:name w:val="td-nr-views-37710"/>
    <w:basedOn w:val="DefaultParagraphFont"/>
    <w:rsid w:val="00404C4A"/>
  </w:style>
  <w:style w:type="paragraph" w:styleId="NormalWeb">
    <w:name w:val="Normal (Web)"/>
    <w:basedOn w:val="Normal"/>
    <w:uiPriority w:val="99"/>
    <w:semiHidden/>
    <w:unhideWhenUsed/>
    <w:rsid w:val="0040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60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059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949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633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14364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2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itimecyprus.com/wp-content/uploads/2024/04/ABS-RequirementsforUseofLithium-ionBatteri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2024-05-05T00:23:00Z</dcterms:created>
  <dcterms:modified xsi:type="dcterms:W3CDTF">2024-05-05T00:39:00Z</dcterms:modified>
</cp:coreProperties>
</file>