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DC" w:rsidRPr="007B2CDC" w:rsidRDefault="007B2CDC" w:rsidP="007B2CDC">
      <w:pPr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Allianz: </w:t>
      </w:r>
      <w:bookmarkStart w:id="0" w:name="_GoBack"/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Hơn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3.500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phải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được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đóng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mới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hoặc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trang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bị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lại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hàng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năm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cho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đến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năm</w:t>
      </w:r>
      <w:proofErr w:type="spellEnd"/>
      <w:r w:rsidRPr="007B2CD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2050</w:t>
      </w:r>
      <w:bookmarkEnd w:id="0"/>
    </w:p>
    <w:p w:rsidR="007B2CDC" w:rsidRPr="007B2CDC" w:rsidRDefault="007B2CDC" w:rsidP="007B2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7CD"/>
          <w:sz w:val="24"/>
          <w:szCs w:val="24"/>
          <w:bdr w:val="none" w:sz="0" w:space="0" w:color="auto" w:frame="1"/>
        </w:rPr>
      </w:pPr>
      <w:r w:rsidRPr="007B2CD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B2CD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"https://safety4sea.com/wp-content/uploads/2024/05/shutterstock_90796292.jpg" </w:instrText>
      </w:r>
      <w:r w:rsidRPr="007B2CD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B2CDC" w:rsidRPr="007B2CDC" w:rsidRDefault="007B2CDC" w:rsidP="007B2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B2CDC">
        <w:rPr>
          <w:rFonts w:ascii="Times New Roman" w:eastAsia="Times New Roman" w:hAnsi="Times New Roman" w:cs="Times New Roman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798820" cy="2631440"/>
            <wp:effectExtent l="0" t="0" r="0" b="0"/>
            <wp:docPr id="1" name="Picture 1" descr="Allianz: Over 3,500 ships must be built or refitted annually until 20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: Over 3,500 ships must be built or refitted annually until 20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25" cy="263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DC" w:rsidRPr="007B2CDC" w:rsidRDefault="007B2CDC" w:rsidP="007B2CDC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B2CD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B2CDC" w:rsidRPr="007B2CDC" w:rsidRDefault="007B2CDC" w:rsidP="007B2CDC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Allianz Commercial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giải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thích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rằng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tang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cường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năng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lực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máy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đóng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sẽ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điều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cần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thiết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tạo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hỗ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trợ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bổ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sung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nghìn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thân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thiện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môi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trường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toàn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cầu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25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tới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3B1541" w:rsidRPr="007B2CDC" w:rsidRDefault="007B2CDC" w:rsidP="003B1541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Theo </w:t>
      </w:r>
      <w:hyperlink r:id="rId6" w:tgtFrame="_blank" w:history="1">
        <w:r w:rsidR="003B1541" w:rsidRPr="003B1541">
          <w:rPr>
            <w:rFonts w:ascii="Helvetica" w:eastAsia="Times New Roman" w:hAnsi="Helvetica" w:cs="Helvetica"/>
            <w:color w:val="0087CD"/>
            <w:sz w:val="24"/>
            <w:szCs w:val="24"/>
            <w:u w:val="single"/>
            <w:bdr w:val="none" w:sz="0" w:space="0" w:color="auto" w:frame="1"/>
          </w:rPr>
          <w:t> Safety and Shipping</w:t>
        </w:r>
        <w:r w:rsidR="003B1541" w:rsidRPr="003B1541">
          <w:rPr>
            <w:rFonts w:ascii="Helvetica" w:eastAsia="Times New Roman" w:hAnsi="Helvetica" w:cs="Helvetica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="003B1541" w:rsidRPr="003B1541">
          <w:rPr>
            <w:rFonts w:ascii="Helvetica" w:eastAsia="Times New Roman" w:hAnsi="Helvetica" w:cs="Helvetica"/>
            <w:color w:val="0087CD"/>
            <w:sz w:val="24"/>
            <w:szCs w:val="24"/>
            <w:u w:val="single"/>
            <w:bdr w:val="none" w:sz="0" w:space="0" w:color="auto" w:frame="1"/>
          </w:rPr>
          <w:t>Review 2024</w:t>
        </w:r>
        <w:r w:rsidR="003B1541" w:rsidRPr="007B2CDC">
          <w:rPr>
            <w:rFonts w:ascii="Helvetica" w:eastAsia="Times New Roman" w:hAnsi="Helvetica" w:cs="Helvetica"/>
            <w:color w:val="0087CD"/>
            <w:sz w:val="24"/>
            <w:szCs w:val="24"/>
            <w:bdr w:val="none" w:sz="0" w:space="0" w:color="auto" w:frame="1"/>
          </w:rPr>
          <w:t>, </w:t>
        </w:r>
        <w:proofErr w:type="spellStart"/>
      </w:hyperlink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mục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tiêu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nghệ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xanh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/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hoặc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nguồn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năng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lượng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chiếm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ít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nhất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5%,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tốt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nhất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10%,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năng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lượng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sử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vận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tải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2030.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đạt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mục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tiêu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sửa</w:t>
      </w:r>
      <w:proofErr w:type="spellEnd"/>
      <w:r w:rsidR="003B1541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đổi</w:t>
      </w:r>
      <w:proofErr w:type="spellEnd"/>
      <w:r w:rsidR="003B1541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giảm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khí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kính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sẽ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đòi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hỏi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kết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hợp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chiến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lược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bao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gồm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biện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pháp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nâng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cao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hiệu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quả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sử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năng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lượng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sử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thay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thế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thiết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kế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sáng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tạo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phương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pháp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đẩy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ty bảo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hiểm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Allianz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đang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hỗ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trợ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thử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nghiệm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sinh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học,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amoniac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metanol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hydro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xanh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chạy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điện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hệ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thống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đẩy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hỗ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trợ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bằng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gió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chẳng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hạn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buồm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cánh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quạt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cánh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nâng</w:t>
      </w:r>
      <w:proofErr w:type="spellEnd"/>
      <w:r w:rsidR="003B15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7B2CDC" w:rsidRDefault="003B1541" w:rsidP="003B1541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</w:t>
      </w:r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uy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quá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trình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bỏ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cacbon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sẽ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đặt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nhiều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thách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thức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khác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nhau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đối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đang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sử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nghệ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mới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cùng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phương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pháp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hiện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Ví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dụ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này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sẽ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cần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phát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triển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cơ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sở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hạ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tầng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để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hỗ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trợ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sử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dụng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thay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thế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chẳng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hạn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tiếp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bảo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trì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đồng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thời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loại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bỏ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dần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hóa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thạch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Ngoài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ra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còn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vấn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đề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toàn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tiềm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ẩn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đối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vận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hành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bến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xử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lý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liệu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thay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thế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hại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hoặc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dễ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nổ</w:t>
      </w:r>
      <w:proofErr w:type="spellEnd"/>
      <w:r w:rsidR="007B2CDC" w:rsidRPr="007B2CD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7B2CDC" w:rsidRPr="007B2CDC" w:rsidRDefault="007B2CDC" w:rsidP="007B2CDC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Theo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Đánh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giá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gram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An</w:t>
      </w:r>
      <w:proofErr w:type="gram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toàn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Vận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chuyển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2024,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một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mục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tiêu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công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nghệ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xanh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/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hoặc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nguồn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lượng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chiếm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ít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nhất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5%,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nhưng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tốt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nhất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10%,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lượng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dụng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trong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vận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tải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biển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2030.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Việc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đạt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mục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tiêu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giảm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kính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đổi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sẽ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đòi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hỏi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sự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kết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hợp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chiến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lược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bao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gồm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biện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pháp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nâng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cao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quả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dụng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lượng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dụng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thay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thế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thiết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kế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sáng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tạo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phương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pháp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đẩy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công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ty bảo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hiểm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như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Allianz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đang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hỗ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trợ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này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nghiệm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sinh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học,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amoniac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metanol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hydro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xanh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cũng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như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điện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hệ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thống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đẩy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hỗ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trợ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bởi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gió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hạn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như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buồm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quạt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lá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kim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loại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7B2CDC" w:rsidRPr="007B2CDC" w:rsidRDefault="007B2CDC" w:rsidP="007B2CDC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Tuy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quá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trình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cacbon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sẽ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đặt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ra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nhiều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thách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thức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nhau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đối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với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một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đang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dụng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công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nghệ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mới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cùng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với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phương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pháp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làm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việc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hiện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dụ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này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sẽ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cần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phát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triển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cơ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sở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hạ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tầng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để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hỗ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trợ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dụng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thay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thế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hạn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như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tiếp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bảo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trì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đồng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thời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loại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bỏ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dần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hóa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thạch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Ngoài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ra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còn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vấn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đề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an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toàn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tiềm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ẩn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đối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với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người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vận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thiết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bị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đầu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cuối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thuyền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xử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lý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thay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thế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thể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độc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hại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hoặc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dễ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nổ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7B2CDC" w:rsidRPr="0027285E" w:rsidRDefault="007B2CDC" w:rsidP="003B1541">
      <w:pPr>
        <w:shd w:val="clear" w:color="auto" w:fill="FFFFFF"/>
        <w:spacing w:after="0" w:line="390" w:lineRule="atLeast"/>
        <w:ind w:left="630" w:right="720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Tăng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công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suất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nhà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máy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đóng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cũng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sẽ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là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vấn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đề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then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chốt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khi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nhu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cầu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về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xanh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tăng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cao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Công</w:t>
      </w:r>
      <w:proofErr w:type="spellEnd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suất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này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hiện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đang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bị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cản</w:t>
      </w:r>
      <w:proofErr w:type="spellEnd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trở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do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thời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gian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chờ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đợi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lâu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giá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đóng</w:t>
      </w:r>
      <w:proofErr w:type="spellEnd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3B1541"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cao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7B2CDC" w:rsidRPr="007B2CDC" w:rsidRDefault="007B2CDC" w:rsidP="007B2CDC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…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báo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nêu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bật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7B2CDC" w:rsidRPr="007B2CDC" w:rsidRDefault="007B2CDC" w:rsidP="007B2CDC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Hơn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3.500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phải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được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3B1541">
        <w:rPr>
          <w:rFonts w:ascii="Helvetica" w:eastAsia="Times New Roman" w:hAnsi="Helvetica" w:cs="Helvetica"/>
          <w:color w:val="333333"/>
          <w:sz w:val="24"/>
          <w:szCs w:val="24"/>
        </w:rPr>
        <w:t>mới</w:t>
      </w:r>
      <w:proofErr w:type="spellEnd"/>
      <w:r w:rsidR="003B154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hoặc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trang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3B1541">
        <w:rPr>
          <w:rFonts w:ascii="Helvetica" w:eastAsia="Times New Roman" w:hAnsi="Helvetica" w:cs="Helvetica"/>
          <w:color w:val="333333"/>
          <w:sz w:val="24"/>
          <w:szCs w:val="24"/>
        </w:rPr>
        <w:t>bị</w:t>
      </w:r>
      <w:proofErr w:type="spellEnd"/>
      <w:r w:rsidR="003B154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3B1541">
        <w:rPr>
          <w:rFonts w:ascii="Helvetica" w:eastAsia="Times New Roman" w:hAnsi="Helvetica" w:cs="Helvetica"/>
          <w:color w:val="333333"/>
          <w:sz w:val="24"/>
          <w:szCs w:val="24"/>
        </w:rPr>
        <w:t>lại</w:t>
      </w:r>
      <w:proofErr w:type="spellEnd"/>
      <w:r w:rsidR="003B154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hàng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đến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2050,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tuy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toàn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cầu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từng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2.700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mỗi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thời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đỉnh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cao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là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2010,</w:t>
      </w:r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trong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số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lượng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máy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giảm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hơn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một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nửa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từ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2007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đến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2022.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Đồng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thời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những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hạn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chế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về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năng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lực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máy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đóng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thể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động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dây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chuyền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đến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việc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sửa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chữa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và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bảo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trì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khiến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các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bị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hư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hỏng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hoặc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vấn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đề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về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máy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móc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thể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phải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đối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mặt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với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sự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chậm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trễ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kéo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dài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7B2CDC" w:rsidRPr="0027285E" w:rsidRDefault="007B2CDC" w:rsidP="0027285E">
      <w:pPr>
        <w:shd w:val="clear" w:color="auto" w:fill="FFFFFF"/>
        <w:spacing w:after="120" w:line="390" w:lineRule="atLeast"/>
        <w:ind w:left="540" w:right="630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Những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hạn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chế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về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năng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lực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của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nhà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máy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đóng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sẽ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hạn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chế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lựa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chọn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27285E" w:rsidRPr="0027285E">
        <w:rPr>
          <w:rFonts w:ascii="Arial" w:eastAsia="Times New Roman" w:hAnsi="Arial" w:cs="Arial"/>
          <w:color w:val="333333"/>
          <w:sz w:val="28"/>
          <w:szCs w:val="28"/>
        </w:rPr>
        <w:t>về</w:t>
      </w:r>
      <w:proofErr w:type="spellEnd"/>
      <w:r w:rsidR="0027285E"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27285E" w:rsidRPr="0027285E">
        <w:rPr>
          <w:rFonts w:ascii="Arial" w:eastAsia="Times New Roman" w:hAnsi="Arial" w:cs="Arial"/>
          <w:color w:val="333333"/>
          <w:sz w:val="28"/>
          <w:szCs w:val="28"/>
        </w:rPr>
        <w:t>loại</w:t>
      </w:r>
      <w:proofErr w:type="spellEnd"/>
      <w:r w:rsidR="0027285E"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27285E" w:rsidRPr="0027285E">
        <w:rPr>
          <w:rFonts w:ascii="Arial" w:eastAsia="Times New Roman" w:hAnsi="Arial" w:cs="Arial"/>
          <w:color w:val="333333"/>
          <w:sz w:val="28"/>
          <w:szCs w:val="28"/>
        </w:rPr>
        <w:t>bỏ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cacbon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27285E" w:rsidRPr="0027285E">
        <w:rPr>
          <w:rFonts w:ascii="Arial" w:eastAsia="Times New Roman" w:hAnsi="Arial" w:cs="Arial"/>
          <w:color w:val="333333"/>
          <w:sz w:val="28"/>
          <w:szCs w:val="28"/>
        </w:rPr>
        <w:t>của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đội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Đối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với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công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ty bảo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hiểm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đây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là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một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chủ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đề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quan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trọng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khi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đội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thế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giới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đang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già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cũ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hơn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có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đặc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="0027285E">
        <w:rPr>
          <w:rFonts w:ascii="Arial" w:eastAsia="Times New Roman" w:hAnsi="Arial" w:cs="Arial"/>
          <w:color w:val="333333"/>
          <w:sz w:val="28"/>
          <w:szCs w:val="28"/>
        </w:rPr>
        <w:t>tính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rất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khác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so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với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mới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và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các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tàu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trẻ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27285E">
        <w:rPr>
          <w:rFonts w:ascii="Arial" w:eastAsia="Times New Roman" w:hAnsi="Arial" w:cs="Arial"/>
          <w:color w:val="333333"/>
          <w:sz w:val="28"/>
          <w:szCs w:val="28"/>
        </w:rPr>
        <w:t>hơn</w:t>
      </w:r>
      <w:proofErr w:type="spellEnd"/>
      <w:r w:rsidRPr="0027285E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7B2CDC" w:rsidRPr="007B2CDC" w:rsidRDefault="007B2CDC" w:rsidP="0027285E">
      <w:pPr>
        <w:shd w:val="clear" w:color="auto" w:fill="FFFFFF"/>
        <w:spacing w:after="12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gram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..</w:t>
      </w:r>
      <w:proofErr w:type="gram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Justus Heinr</w:t>
      </w:r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ich,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Giám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đốc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sản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phẩm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toàn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cầu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của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Marine Hull, Allianz Commercial,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đã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chỉ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ra.</w:t>
      </w:r>
      <w:proofErr w:type="spellEnd"/>
    </w:p>
    <w:p w:rsidR="007B2CDC" w:rsidRDefault="007B2CDC" w:rsidP="0027285E">
      <w:pPr>
        <w:shd w:val="clear" w:color="auto" w:fill="FFFFFF"/>
        <w:spacing w:after="12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vận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tải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biển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phải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loại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bỏ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cacbon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đội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tàu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toàn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cầu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trong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một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khung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thời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gian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tương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đối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ngắn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nhưng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hiện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tại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vẫn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chưa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giải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pháp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kỹ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thuật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rõ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ràng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nào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N</w:t>
      </w:r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gành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công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nghiệp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này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có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khả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>năng</w:t>
      </w:r>
      <w:proofErr w:type="spellEnd"/>
      <w:r w:rsidR="0027285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đang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hướng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tới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một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tương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lai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đa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nhiên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liệu</w:t>
      </w:r>
      <w:proofErr w:type="spellEnd"/>
      <w:r w:rsidRPr="007B2CD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BF2297" w:rsidRDefault="0027285E" w:rsidP="0027285E">
      <w:pPr>
        <w:jc w:val="center"/>
      </w:pPr>
      <w:r>
        <w:t>------------------------------------------</w:t>
      </w:r>
    </w:p>
    <w:sectPr w:rsidR="00BF2297" w:rsidSect="0027285E"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C"/>
    <w:rsid w:val="0027285E"/>
    <w:rsid w:val="003B1541"/>
    <w:rsid w:val="007B2CDC"/>
    <w:rsid w:val="00B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F7C9"/>
  <w15:chartTrackingRefBased/>
  <w15:docId w15:val="{23A47D2F-4891-4DC5-8C66-DC604BD1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2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B2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B2C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7B2CDC"/>
  </w:style>
  <w:style w:type="character" w:styleId="Hyperlink">
    <w:name w:val="Hyperlink"/>
    <w:basedOn w:val="DefaultParagraphFont"/>
    <w:uiPriority w:val="99"/>
    <w:semiHidden/>
    <w:unhideWhenUsed/>
    <w:rsid w:val="007B2CDC"/>
    <w:rPr>
      <w:color w:val="0000FF"/>
      <w:u w:val="single"/>
    </w:rPr>
  </w:style>
  <w:style w:type="paragraph" w:customStyle="1" w:styleId="wp-caption-text">
    <w:name w:val="wp-caption-text"/>
    <w:basedOn w:val="Normal"/>
    <w:rsid w:val="007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7B2CDC"/>
  </w:style>
  <w:style w:type="character" w:styleId="Strong">
    <w:name w:val="Strong"/>
    <w:basedOn w:val="DefaultParagraphFont"/>
    <w:uiPriority w:val="22"/>
    <w:qFormat/>
    <w:rsid w:val="007B2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5651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89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77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40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720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08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5156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129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1338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97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0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8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9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94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32131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4sea.com/safety-and-shipping-review-2024-record-low-for-fleet-loses-during-last-year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4/05/shutterstock_9079629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2024-05-29T01:54:00Z</dcterms:created>
  <dcterms:modified xsi:type="dcterms:W3CDTF">2024-05-29T02:22:00Z</dcterms:modified>
</cp:coreProperties>
</file>