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8A" w:rsidRPr="00525C8A" w:rsidRDefault="00525C8A" w:rsidP="00525C8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</w:pPr>
      <w:proofErr w:type="spellStart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Mười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sáu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tổ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chức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lớn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trong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ngành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hàng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hải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yêu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cầu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hỗ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trợ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cho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việc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đi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lại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của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tàu</w:t>
      </w:r>
      <w:proofErr w:type="spellEnd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biển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được </w:t>
      </w:r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an </w:t>
      </w:r>
      <w:proofErr w:type="spellStart"/>
      <w:r w:rsidRPr="00525C8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toàn</w:t>
      </w:r>
      <w:proofErr w:type="spellEnd"/>
    </w:p>
    <w:p w:rsidR="00525C8A" w:rsidRPr="00525C8A" w:rsidRDefault="00525C8A" w:rsidP="00525C8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525C8A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525C8A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"https://safety4sea.com/wp-content/uploads/2023/01/hong-kong-safe-navigation-e1674743237932.jpg" </w:instrText>
      </w:r>
      <w:r w:rsidRPr="00525C8A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525C8A" w:rsidRPr="00525C8A" w:rsidRDefault="00525C8A" w:rsidP="00525C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5C8A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836920" cy="2921575"/>
            <wp:effectExtent l="0" t="0" r="0" b="0"/>
            <wp:docPr id="1" name="Picture 1" descr="hong kong safe navigati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ng kong safe navigati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337" cy="292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C8A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>:</w:t>
      </w:r>
    </w:p>
    <w:p w:rsidR="00525C8A" w:rsidRPr="00525C8A" w:rsidRDefault="00525C8A" w:rsidP="00525C8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25C8A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525C8A" w:rsidRPr="00525C8A" w:rsidRDefault="00525C8A" w:rsidP="00525C8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Mười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sáu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hiệp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hội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ngành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hàng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hải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đối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tác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xã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hội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(ASA, BIMCO, CLIA, ECSA, INTERCARGO, INTERMANAGER, INTERTANKO, IAPH, ICS, IFSMA, IMCA, IMEC, IPTA, ITF, FONASBA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WSC)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cùng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nhau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ký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thư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kêu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gọi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tất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cả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thành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phải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nhớ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về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trách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nhiệm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mình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theo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luật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pháp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quốc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tế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yêu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cầu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thả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bảo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vệ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sự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lại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toàn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525C8A" w:rsidRPr="00525C8A" w:rsidRDefault="00525C8A" w:rsidP="00525C8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Ngành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hàng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hải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được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đại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diện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bởi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tổ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chức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thư,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bày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tỏ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lòng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biết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ơn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đối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sự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công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nhận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Hội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đồng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Bảo an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Liên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hợp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quốc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cũng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như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sự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quan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tâm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nhân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đối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ngành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vận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tải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biển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cũng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như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tầm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quan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trọng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chuyển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tự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biển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theo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quy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định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luật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pháp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quốc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tế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Ngành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cũng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gửi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lời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cảm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ơn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tới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Tổng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thư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ký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IMO Arsenio Dominguez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vì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chăm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chỉ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nâng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cao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vị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thế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ngành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vận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tải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biển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những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đóng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góp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525C8A" w:rsidRPr="00525C8A" w:rsidRDefault="00525C8A" w:rsidP="00525C8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Tuy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nhiên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vụ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vừa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qua,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đó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MSC Aries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lực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lượng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Iran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bắt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giữ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lúc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06:37 UTC –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cách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Fujairah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Tiểu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vương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quốc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Ả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Rập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Thống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nhất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50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hải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lý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về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phía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đông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bắc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vào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thứ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Bảy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ngày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13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tháng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4,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lần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nữa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nhấn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mạnh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sự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chấp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nhận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được.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tình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huống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việc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tàu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biển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nhắm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tiêu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thư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nêu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rõ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525C8A" w:rsidRPr="00525C8A" w:rsidRDefault="00525C8A" w:rsidP="00525C8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525C8A" w:rsidRPr="00525C8A" w:rsidRDefault="00525C8A" w:rsidP="00525C8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lastRenderedPageBreak/>
        <w:t>Những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thuyền</w:t>
      </w:r>
      <w:proofErr w:type="spellEnd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viên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vô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tội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thiệt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mạng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những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khác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đang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bắt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con tin.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Những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hành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động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như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vậy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đã</w:t>
      </w:r>
      <w:proofErr w:type="spellEnd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coi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không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thể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chấp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nhận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được </w:t>
      </w:r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trên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đất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liền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cũng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cần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như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vậy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proofErr w:type="spellStart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dưới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biển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Thế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giới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sẽ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phẫn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nộ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nếu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có</w:t>
      </w:r>
      <w:proofErr w:type="spellEnd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bốn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chiếc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máy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bay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bị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bắt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giữ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và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bắt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con tin </w:t>
      </w:r>
      <w:proofErr w:type="spellStart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cùng</w:t>
      </w:r>
      <w:proofErr w:type="spellEnd"/>
      <w:r w:rsidR="009E22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với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những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người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vô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tội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trên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máy</w:t>
      </w:r>
      <w:proofErr w:type="spellEnd"/>
      <w:r w:rsidRPr="00525C8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bay.</w:t>
      </w:r>
    </w:p>
    <w:p w:rsidR="00525C8A" w:rsidRPr="009E220C" w:rsidRDefault="00525C8A" w:rsidP="00525C8A">
      <w:pPr>
        <w:shd w:val="clear" w:color="auto" w:fill="FFFFFF"/>
        <w:spacing w:after="0" w:line="390" w:lineRule="atLeast"/>
        <w:textAlignment w:val="baseline"/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25C8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… </w:t>
      </w:r>
      <w:proofErr w:type="spellStart"/>
      <w:r w:rsidR="009E220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="009E220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525C8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ổ</w:t>
      </w:r>
      <w:proofErr w:type="spellEnd"/>
      <w:r w:rsidRPr="00525C8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5C8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525C8A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ứ</w:t>
      </w:r>
      <w:r w:rsidRPr="00525C8A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="009E220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="009E220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="009E220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220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bi</w:t>
      </w:r>
      <w:r w:rsidR="009E220C"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ết</w:t>
      </w:r>
      <w:proofErr w:type="spellEnd"/>
    </w:p>
    <w:p w:rsidR="009E220C" w:rsidRPr="009E220C" w:rsidRDefault="009E220C" w:rsidP="009E220C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may,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dường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lo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ngại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bốn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con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thủy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con tin.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thuốc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men,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220C" w:rsidRPr="009E220C" w:rsidRDefault="009E220C" w:rsidP="009E220C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Thuyền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viên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và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ngành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hàng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hải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là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trung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lập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và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không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nên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bị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chính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trị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hóa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. Bảo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vệ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thuyền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viên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là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một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nghĩa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vụ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đạo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đức</w:t>
      </w:r>
      <w:proofErr w:type="spellEnd"/>
      <w:r w:rsidRPr="009E220C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:rsidR="009E220C" w:rsidRPr="009E220C" w:rsidRDefault="009E220C" w:rsidP="009E220C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nữa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, do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đe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dọa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kêu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cường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khỏi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bức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thể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nữa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220C" w:rsidRPr="009E220C" w:rsidRDefault="009E220C" w:rsidP="009E220C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hiệp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nhắc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nhở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kêu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nỗ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thể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phóng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69B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="008166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69B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="008166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220C">
        <w:rPr>
          <w:rFonts w:ascii="Times New Roman" w:eastAsia="Times New Roman" w:hAnsi="Times New Roman" w:cs="Times New Roman"/>
          <w:sz w:val="26"/>
          <w:szCs w:val="26"/>
        </w:rPr>
        <w:t xml:space="preserve">an </w:t>
      </w:r>
      <w:proofErr w:type="spellStart"/>
      <w:r w:rsidRPr="009E220C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="008166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6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8166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6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8166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69B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="008166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69B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9E22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40478" w:rsidRDefault="0081669B">
      <w:pPr>
        <w:rPr>
          <w:sz w:val="26"/>
          <w:szCs w:val="26"/>
        </w:rPr>
      </w:pPr>
      <w:proofErr w:type="spellStart"/>
      <w:r w:rsidRPr="0081669B">
        <w:rPr>
          <w:sz w:val="26"/>
          <w:szCs w:val="26"/>
        </w:rPr>
        <w:t>Xem</w:t>
      </w:r>
      <w:proofErr w:type="spellEnd"/>
      <w:r w:rsidRPr="0081669B">
        <w:rPr>
          <w:sz w:val="26"/>
          <w:szCs w:val="26"/>
        </w:rPr>
        <w:t xml:space="preserve"> chi </w:t>
      </w:r>
      <w:proofErr w:type="spellStart"/>
      <w:r w:rsidRPr="0081669B">
        <w:rPr>
          <w:sz w:val="26"/>
          <w:szCs w:val="26"/>
        </w:rPr>
        <w:t>tiết</w:t>
      </w:r>
      <w:proofErr w:type="spellEnd"/>
      <w:r w:rsidRPr="0081669B">
        <w:rPr>
          <w:sz w:val="26"/>
          <w:szCs w:val="26"/>
        </w:rPr>
        <w:t xml:space="preserve"> Thư </w:t>
      </w:r>
      <w:proofErr w:type="spellStart"/>
      <w:r w:rsidRPr="0081669B">
        <w:rPr>
          <w:sz w:val="26"/>
          <w:szCs w:val="26"/>
        </w:rPr>
        <w:t>tại</w:t>
      </w:r>
      <w:proofErr w:type="spellEnd"/>
      <w:r w:rsidRPr="0081669B">
        <w:rPr>
          <w:sz w:val="26"/>
          <w:szCs w:val="26"/>
        </w:rPr>
        <w:t xml:space="preserve"> </w:t>
      </w:r>
      <w:proofErr w:type="spellStart"/>
      <w:r w:rsidRPr="0081669B">
        <w:rPr>
          <w:sz w:val="26"/>
          <w:szCs w:val="26"/>
        </w:rPr>
        <w:t>đây</w:t>
      </w:r>
      <w:proofErr w:type="spellEnd"/>
      <w:r w:rsidRPr="0081669B">
        <w:rPr>
          <w:sz w:val="26"/>
          <w:szCs w:val="26"/>
        </w:rPr>
        <w:t xml:space="preserve">: </w:t>
      </w:r>
      <w:hyperlink r:id="rId6" w:history="1">
        <w:r w:rsidRPr="0081669B">
          <w:rPr>
            <w:rStyle w:val="Hyperlink"/>
            <w:sz w:val="26"/>
            <w:szCs w:val="26"/>
          </w:rPr>
          <w:t>https://safety4sea.com/wp-content/uploads/2024/04/Joint-open-letter-following-the-seizure-of-the-MSC-Aries-2024_04.pdf</w:t>
        </w:r>
      </w:hyperlink>
    </w:p>
    <w:p w:rsidR="0081669B" w:rsidRPr="0081669B" w:rsidRDefault="0081669B" w:rsidP="0081669B">
      <w:pPr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</w:t>
      </w:r>
    </w:p>
    <w:p w:rsidR="0081669B" w:rsidRDefault="0081669B"/>
    <w:sectPr w:rsidR="0081669B" w:rsidSect="00525C8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8A"/>
    <w:rsid w:val="00340478"/>
    <w:rsid w:val="00525C8A"/>
    <w:rsid w:val="0081669B"/>
    <w:rsid w:val="009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16B8"/>
  <w15:chartTrackingRefBased/>
  <w15:docId w15:val="{22326CBA-2F0D-4401-9DE4-BB709BB4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5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25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C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25C8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525C8A"/>
  </w:style>
  <w:style w:type="character" w:styleId="Hyperlink">
    <w:name w:val="Hyperlink"/>
    <w:basedOn w:val="DefaultParagraphFont"/>
    <w:uiPriority w:val="99"/>
    <w:unhideWhenUsed/>
    <w:rsid w:val="00525C8A"/>
    <w:rPr>
      <w:color w:val="0000FF"/>
      <w:u w:val="single"/>
    </w:rPr>
  </w:style>
  <w:style w:type="paragraph" w:customStyle="1" w:styleId="wp-caption-text">
    <w:name w:val="wp-caption-text"/>
    <w:basedOn w:val="Normal"/>
    <w:rsid w:val="0052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525C8A"/>
  </w:style>
  <w:style w:type="character" w:styleId="Strong">
    <w:name w:val="Strong"/>
    <w:basedOn w:val="DefaultParagraphFont"/>
    <w:uiPriority w:val="22"/>
    <w:qFormat/>
    <w:rsid w:val="00525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4131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303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70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28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6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4879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046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453383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8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9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86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75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2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0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76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338103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ty4sea.com/wp-content/uploads/2024/04/Joint-open-letter-following-the-seizure-of-the-MSC-Aries-2024_04.pd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3/01/hong-kong-safe-navigation-e167474323793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2024-04-23T01:31:00Z</dcterms:created>
  <dcterms:modified xsi:type="dcterms:W3CDTF">2024-04-23T01:54:00Z</dcterms:modified>
</cp:coreProperties>
</file>