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49" w:rsidRPr="00D45D49" w:rsidRDefault="003221F5" w:rsidP="003221F5">
      <w:pPr>
        <w:spacing w:after="105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</w:pP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Công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nghệ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tiên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tiến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: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Cathelco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ra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mắt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sản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phẩm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bảo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vệ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bám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bẩn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sinh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học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bằng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sóng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siêu</w:t>
      </w:r>
      <w:proofErr w:type="spellEnd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3221F5">
        <w:rPr>
          <w:rFonts w:ascii="Arial" w:eastAsia="Times New Roman" w:hAnsi="Arial" w:cs="Arial"/>
          <w:b/>
          <w:color w:val="000000"/>
          <w:kern w:val="36"/>
          <w:sz w:val="40"/>
          <w:szCs w:val="40"/>
        </w:rPr>
        <w:t>âm</w:t>
      </w:r>
      <w:proofErr w:type="spellEnd"/>
    </w:p>
    <w:p w:rsidR="00D45D49" w:rsidRPr="00D45D49" w:rsidRDefault="003221F5" w:rsidP="003221F5">
      <w:pPr>
        <w:spacing w:after="0" w:line="240" w:lineRule="auto"/>
        <w:jc w:val="right"/>
        <w:rPr>
          <w:rFonts w:ascii="Arial" w:eastAsia="Times New Roman" w:hAnsi="Arial" w:cs="Arial"/>
          <w:color w:val="444444"/>
          <w:sz w:val="24"/>
          <w:szCs w:val="24"/>
        </w:rPr>
      </w:pPr>
      <w:r w:rsidRPr="003221F5">
        <w:rPr>
          <w:rFonts w:ascii="Arial" w:eastAsia="Times New Roman" w:hAnsi="Arial" w:cs="Arial"/>
          <w:color w:val="444444"/>
          <w:sz w:val="24"/>
          <w:szCs w:val="24"/>
        </w:rPr>
        <w:t xml:space="preserve">Theo </w:t>
      </w:r>
      <w:r w:rsidR="00D45D49" w:rsidRPr="00D45D49">
        <w:rPr>
          <w:rFonts w:ascii="Arial" w:eastAsia="Times New Roman" w:hAnsi="Arial" w:cs="Arial"/>
          <w:color w:val="444444"/>
          <w:sz w:val="24"/>
          <w:szCs w:val="24"/>
        </w:rPr>
        <w:t> </w:t>
      </w:r>
      <w:hyperlink r:id="rId4" w:history="1">
        <w:proofErr w:type="spellStart"/>
        <w:r w:rsidR="00D45D49" w:rsidRPr="003221F5">
          <w:rPr>
            <w:rFonts w:ascii="Arial" w:eastAsia="Times New Roman" w:hAnsi="Arial" w:cs="Arial"/>
            <w:b/>
            <w:bCs/>
            <w:color w:val="005689"/>
            <w:sz w:val="24"/>
            <w:szCs w:val="24"/>
            <w:u w:val="single"/>
          </w:rPr>
          <w:t>maritimecyprus</w:t>
        </w:r>
        <w:proofErr w:type="spellEnd"/>
      </w:hyperlink>
    </w:p>
    <w:p w:rsidR="00D45D49" w:rsidRPr="00D45D49" w:rsidRDefault="00D45D49" w:rsidP="00D45D49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D45D49">
        <w:rPr>
          <w:rFonts w:ascii="Arial" w:eastAsia="Times New Roman" w:hAnsi="Arial" w:cs="Arial"/>
          <w:color w:val="444444"/>
          <w:sz w:val="17"/>
          <w:szCs w:val="17"/>
        </w:rPr>
        <w:t> -</w:t>
      </w:r>
    </w:p>
    <w:p w:rsidR="00D45D49" w:rsidRPr="00D45D49" w:rsidRDefault="00D45D49" w:rsidP="00D45D49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D45D49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804107" cy="3268980"/>
            <wp:effectExtent l="0" t="0" r="6350" b="7620"/>
            <wp:docPr id="1" name="Picture 1" descr="https://maritimecyprus.com/wp-content/uploads/2024/04/cathelco-696x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4/04/cathelco-696x3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587" cy="327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1F5" w:rsidRPr="003221F5" w:rsidRDefault="003221F5" w:rsidP="003221F5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Cathelco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một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phận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Tập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đoàn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Evac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đang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tung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nghệ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bằng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siêu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âm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bằng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sáng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chống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học ở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. Bảo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bằng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siêu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âm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(USP)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DragGone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cản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cải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thiện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suất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liệu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tiêu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thụ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liệu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thải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tới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13%.</w:t>
      </w:r>
    </w:p>
    <w:p w:rsidR="003221F5" w:rsidRPr="003221F5" w:rsidRDefault="003221F5" w:rsidP="003221F5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221F5"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ám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học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tích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tụ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thủy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nhau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bất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kỳ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phận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phải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tiếp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xúc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tăng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cản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tăng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cơ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tăng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chi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phí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liệu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thải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carbon.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Quản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học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sẽ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ngăn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ngừa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tích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tụ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ma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sát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tiêu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thụ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liệu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cũng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thải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kính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>.</w:t>
      </w:r>
    </w:p>
    <w:p w:rsidR="003221F5" w:rsidRPr="003221F5" w:rsidRDefault="003221F5" w:rsidP="003221F5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21F5">
        <w:rPr>
          <w:rFonts w:ascii="Arial" w:eastAsia="Times New Roman" w:hAnsi="Arial" w:cs="Arial"/>
          <w:sz w:val="24"/>
          <w:szCs w:val="24"/>
        </w:rPr>
        <w:t xml:space="preserve">Bảo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bằng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siêu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âm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giải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pháp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chủ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bổ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sung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sơn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chống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đảm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luôn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sạch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sẽ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ngay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đóng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mới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ngay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sạch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đối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DragGone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gắn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mặt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của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sóng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siêu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âm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gián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đoạn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bất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kỳ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loại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kết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học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bề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mặt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rung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bề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mặt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ngăn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chặn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vi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tảo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cũng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thiểu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nguy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cơ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loài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thủy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xâm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lấn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từng</w:t>
      </w:r>
      <w:proofErr w:type="spellEnd"/>
      <w:r w:rsid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thái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đáng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21F5">
        <w:rPr>
          <w:rFonts w:ascii="Arial" w:eastAsia="Times New Roman" w:hAnsi="Arial" w:cs="Arial"/>
          <w:sz w:val="24"/>
          <w:szCs w:val="24"/>
        </w:rPr>
        <w:t>kể</w:t>
      </w:r>
      <w:proofErr w:type="spellEnd"/>
      <w:r w:rsidRPr="003221F5">
        <w:rPr>
          <w:rFonts w:ascii="Arial" w:eastAsia="Times New Roman" w:hAnsi="Arial" w:cs="Arial"/>
          <w:sz w:val="24"/>
          <w:szCs w:val="24"/>
        </w:rPr>
        <w:t>.</w:t>
      </w:r>
    </w:p>
    <w:p w:rsidR="003221F5" w:rsidRPr="00D45D49" w:rsidRDefault="003221F5" w:rsidP="00B247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247D2">
        <w:rPr>
          <w:rFonts w:ascii="Arial" w:eastAsia="Times New Roman" w:hAnsi="Arial" w:cs="Arial"/>
          <w:sz w:val="24"/>
          <w:szCs w:val="24"/>
        </w:rPr>
        <w:t>DragGone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kết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hai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="00B247D2">
        <w:rPr>
          <w:rFonts w:ascii="Arial" w:eastAsia="Times New Roman" w:hAnsi="Arial" w:cs="Arial"/>
          <w:sz w:val="24"/>
          <w:szCs w:val="24"/>
        </w:rPr>
        <w:t xml:space="preserve"> vi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sai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kỹ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thuật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hệ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thống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chống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siêu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âm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nghệ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sóng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r w:rsidR="00B247D2">
        <w:rPr>
          <w:rFonts w:ascii="Arial" w:eastAsia="Times New Roman" w:hAnsi="Arial" w:cs="Arial"/>
          <w:sz w:val="24"/>
          <w:szCs w:val="24"/>
        </w:rPr>
        <w:t xml:space="preserve">được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dẫn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nghệ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r w:rsidR="00B247D2">
        <w:rPr>
          <w:rFonts w:ascii="Arial" w:eastAsia="Times New Roman" w:hAnsi="Arial" w:cs="Arial"/>
          <w:sz w:val="24"/>
          <w:szCs w:val="24"/>
        </w:rPr>
        <w:t xml:space="preserve">heterodyne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hóa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hai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nguyên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tắc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thiết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lập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lần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tiên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áp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dụng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quản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học.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nghệ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sóng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r w:rsidR="00B247D2">
        <w:rPr>
          <w:rFonts w:ascii="Arial" w:eastAsia="Times New Roman" w:hAnsi="Arial" w:cs="Arial"/>
          <w:sz w:val="24"/>
          <w:szCs w:val="24"/>
        </w:rPr>
        <w:t xml:space="preserve">được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dẫn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DragGone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phép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sóng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truyền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khoảng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cách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xa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so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giải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pháp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siêu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âm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chống</w:t>
      </w:r>
      <w:proofErr w:type="spellEnd"/>
      <w:r w:rsid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truyền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thống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nghĩa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ít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chạy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cáp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ít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bảng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khiển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ít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tới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60%.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giúp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dễ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dàng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lắp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đặt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dễ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trì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chi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phí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dịch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. Heterodyning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tần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bổ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r w:rsidRPr="00B247D2">
        <w:rPr>
          <w:rFonts w:ascii="Arial" w:eastAsia="Times New Roman" w:hAnsi="Arial" w:cs="Arial"/>
          <w:sz w:val="24"/>
          <w:szCs w:val="24"/>
        </w:rPr>
        <w:lastRenderedPageBreak/>
        <w:t xml:space="preserve">sung,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giúp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tăng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phạm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vi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="00B247D2">
        <w:rPr>
          <w:rFonts w:ascii="Arial" w:eastAsia="Times New Roman" w:hAnsi="Arial" w:cs="Arial"/>
          <w:sz w:val="24"/>
          <w:szCs w:val="24"/>
        </w:rPr>
        <w:t xml:space="preserve"> </w:t>
      </w:r>
      <w:r w:rsidRPr="00B247D2">
        <w:rPr>
          <w:rFonts w:ascii="Arial" w:eastAsia="Times New Roman" w:hAnsi="Arial" w:cs="Arial"/>
          <w:sz w:val="24"/>
          <w:szCs w:val="24"/>
        </w:rPr>
        <w:t xml:space="preserve">bảo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chống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lại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loại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247D2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so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chuyển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tần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đơn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tiêu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chuẩn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>.</w:t>
      </w:r>
    </w:p>
    <w:p w:rsidR="00B247D2" w:rsidRPr="00B247D2" w:rsidRDefault="00B247D2" w:rsidP="00B247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47D2">
        <w:rPr>
          <w:rFonts w:ascii="Arial" w:eastAsia="Times New Roman" w:hAnsi="Arial" w:cs="Arial"/>
          <w:sz w:val="24"/>
          <w:szCs w:val="24"/>
        </w:rPr>
        <w:t xml:space="preserve">Chris Hewitt,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Giám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đốc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Sản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phẩm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Kỹ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thuật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Cathelco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biết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>: “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càng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học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thì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cản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càng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lớn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sử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dụng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liệu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DragGone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giữ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không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học,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giúp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tiêu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thụ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liệu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thải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cũng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chi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phí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. IMO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nhận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rằng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quản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học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phần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lộ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tới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tương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lai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cacbon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ngành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Ngoài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r w:rsidR="00787843">
        <w:rPr>
          <w:rFonts w:ascii="Arial" w:eastAsia="Times New Roman" w:hAnsi="Arial" w:cs="Arial"/>
          <w:sz w:val="24"/>
          <w:szCs w:val="24"/>
        </w:rPr>
        <w:t xml:space="preserve">vi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tàn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phá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môi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sống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nếu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tách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khỏi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sản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vực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loài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bản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Mặc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dù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nỗ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xử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dằn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thập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kỷ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qua,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nhưng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học ở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vỏ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vực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cũng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đóng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góp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>”.</w:t>
      </w:r>
    </w:p>
    <w:p w:rsidR="00B247D2" w:rsidRPr="00B247D2" w:rsidRDefault="00B247D2" w:rsidP="00B247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47D2">
        <w:rPr>
          <w:rFonts w:ascii="Arial" w:eastAsia="Times New Roman" w:hAnsi="Arial" w:cs="Arial"/>
          <w:sz w:val="24"/>
          <w:szCs w:val="24"/>
        </w:rPr>
        <w:t xml:space="preserve">Tiến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sĩ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Sasha Heriot,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Giám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đốc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Kinh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doanh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Sản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phẩm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Cathelco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biết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thêm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>: “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sạch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giải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pháp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phản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ứng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quản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học -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nếu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sẽ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chịu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cản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trước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nó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sạch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do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ảnh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hưởng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sử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dụng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B247D2">
        <w:rPr>
          <w:rFonts w:ascii="Arial" w:eastAsia="Times New Roman" w:hAnsi="Arial" w:cs="Arial"/>
          <w:sz w:val="24"/>
          <w:szCs w:val="24"/>
        </w:rPr>
        <w:t>liệu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.</w:t>
      </w:r>
      <w:proofErr w:type="gram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sạch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quá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tốn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kém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khả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năng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hỏng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lớp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sơn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phủ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quá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lên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đà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thường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kỳ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r w:rsidR="00787843">
        <w:rPr>
          <w:rFonts w:ascii="Arial" w:eastAsia="Times New Roman" w:hAnsi="Arial" w:cs="Arial"/>
          <w:sz w:val="24"/>
          <w:szCs w:val="24"/>
        </w:rPr>
        <w:t xml:space="preserve">được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khai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thác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bằng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cách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sử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dụng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rô-bốt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sạch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thợ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lặn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tiềm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ẩn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nguy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cơ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an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DragGone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vẫn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sạch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sẽ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thậm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chí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ngăn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chặn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r w:rsidR="00787843">
        <w:rPr>
          <w:rFonts w:ascii="Arial" w:eastAsia="Times New Roman" w:hAnsi="Arial" w:cs="Arial"/>
          <w:sz w:val="24"/>
          <w:szCs w:val="24"/>
        </w:rPr>
        <w:t xml:space="preserve">được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lớp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nhờn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môi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hàu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tiểu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>.”</w:t>
      </w:r>
    </w:p>
    <w:p w:rsidR="00B247D2" w:rsidRPr="00B247D2" w:rsidRDefault="00B247D2" w:rsidP="00B247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247D2">
        <w:rPr>
          <w:rFonts w:ascii="Arial" w:eastAsia="Times New Roman" w:hAnsi="Arial" w:cs="Arial"/>
          <w:sz w:val="24"/>
          <w:szCs w:val="24"/>
        </w:rPr>
        <w:t>Hệ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thống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chống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Cathelco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lắp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đặt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25.000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thế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giới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hệ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thống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ngăn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chặn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(MGPS)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hệ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thống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xử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tích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cửa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787843" w:rsidRPr="00B247D2">
        <w:rPr>
          <w:rFonts w:ascii="Arial" w:eastAsia="Times New Roman" w:hAnsi="Arial" w:cs="Arial"/>
          <w:sz w:val="24"/>
          <w:szCs w:val="24"/>
        </w:rPr>
        <w:t>bên</w:t>
      </w:r>
      <w:proofErr w:type="spellEnd"/>
      <w:r w:rsidR="00787843"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 w:rsidRPr="00B247D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="00787843"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hệ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thống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ống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mát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>.</w:t>
      </w:r>
    </w:p>
    <w:p w:rsidR="00B247D2" w:rsidRDefault="00B247D2" w:rsidP="00B247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MGPS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catốt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cực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dương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bằng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được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lắp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cửa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hút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Chúng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môi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mà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thích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ngăn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cản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cư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ở</w:t>
      </w:r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bên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đường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ống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. Bảo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siêu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âm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thích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r w:rsidR="00787843">
        <w:rPr>
          <w:rFonts w:ascii="Arial" w:eastAsia="Times New Roman" w:hAnsi="Arial" w:cs="Arial"/>
          <w:sz w:val="24"/>
          <w:szCs w:val="24"/>
        </w:rPr>
        <w:t xml:space="preserve">so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xử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lý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bề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mặt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chẳng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hạn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. MGPS bảo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chống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lại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vi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trai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nhưng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hệ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thống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siêu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âm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mới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B247D2">
        <w:rPr>
          <w:rFonts w:ascii="Arial" w:eastAsia="Times New Roman" w:hAnsi="Arial" w:cs="Arial"/>
          <w:sz w:val="24"/>
          <w:szCs w:val="24"/>
        </w:rPr>
        <w:t>gia</w:t>
      </w:r>
      <w:r w:rsidR="00787843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đoạn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sớm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chống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lại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thủy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="0078784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87843">
        <w:rPr>
          <w:rFonts w:ascii="Arial" w:eastAsia="Times New Roman" w:hAnsi="Arial" w:cs="Arial"/>
          <w:sz w:val="24"/>
          <w:szCs w:val="24"/>
        </w:rPr>
        <w:t>nhỏ</w:t>
      </w:r>
      <w:proofErr w:type="spellEnd"/>
      <w:r w:rsidRPr="00B247D2">
        <w:rPr>
          <w:rFonts w:ascii="Arial" w:eastAsia="Times New Roman" w:hAnsi="Arial" w:cs="Arial"/>
          <w:sz w:val="24"/>
          <w:szCs w:val="24"/>
        </w:rPr>
        <w:t>.</w:t>
      </w:r>
    </w:p>
    <w:p w:rsidR="00131B7B" w:rsidRPr="00B247D2" w:rsidRDefault="00131B7B" w:rsidP="00B247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31B7B">
        <w:rPr>
          <w:rFonts w:ascii="Arial" w:eastAsia="Times New Roman" w:hAnsi="Arial" w:cs="Arial"/>
          <w:sz w:val="24"/>
          <w:szCs w:val="24"/>
        </w:rPr>
        <w:t>DragGone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là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một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phần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sản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phẩm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đầy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đủ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Cathelco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khỏi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bám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bẩn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học,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MGPS,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nghệ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cathode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dòng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điện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cưỡng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bức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(ICCP) -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giúp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chi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phí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bảo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trì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bằng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cách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ngăn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chặn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ăn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mòn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ngoài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khơi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nay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chống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hà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bằng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siêu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31B7B">
        <w:rPr>
          <w:rFonts w:ascii="Arial" w:eastAsia="Times New Roman" w:hAnsi="Arial" w:cs="Arial"/>
          <w:sz w:val="24"/>
          <w:szCs w:val="24"/>
        </w:rPr>
        <w:t>âm</w:t>
      </w:r>
      <w:proofErr w:type="spellEnd"/>
      <w:r w:rsidRPr="00131B7B">
        <w:rPr>
          <w:rFonts w:ascii="Arial" w:eastAsia="Times New Roman" w:hAnsi="Arial" w:cs="Arial"/>
          <w:sz w:val="24"/>
          <w:szCs w:val="24"/>
        </w:rPr>
        <w:t>.</w:t>
      </w:r>
    </w:p>
    <w:p w:rsidR="00255AD0" w:rsidRDefault="00131B7B" w:rsidP="00131B7B">
      <w:pPr>
        <w:jc w:val="center"/>
      </w:pPr>
      <w:r>
        <w:t>---------------------------------------</w:t>
      </w:r>
      <w:bookmarkStart w:id="0" w:name="_GoBack"/>
      <w:bookmarkEnd w:id="0"/>
      <w:r>
        <w:t>---------------</w:t>
      </w:r>
    </w:p>
    <w:sectPr w:rsidR="00255AD0" w:rsidSect="003221F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49"/>
    <w:rsid w:val="00131B7B"/>
    <w:rsid w:val="00255AD0"/>
    <w:rsid w:val="003221F5"/>
    <w:rsid w:val="00787843"/>
    <w:rsid w:val="00B247D2"/>
    <w:rsid w:val="00D4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65721"/>
  <w15:chartTrackingRefBased/>
  <w15:docId w15:val="{2333F249-97DE-4CDE-8F21-8E4F748D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5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D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45D49"/>
    <w:rPr>
      <w:color w:val="0000FF"/>
      <w:u w:val="single"/>
    </w:rPr>
  </w:style>
  <w:style w:type="character" w:customStyle="1" w:styleId="td-post-date">
    <w:name w:val="td-post-date"/>
    <w:basedOn w:val="DefaultParagraphFont"/>
    <w:rsid w:val="00D45D49"/>
  </w:style>
  <w:style w:type="character" w:customStyle="1" w:styleId="td-nr-views-37525">
    <w:name w:val="td-nr-views-37525"/>
    <w:basedOn w:val="DefaultParagraphFont"/>
    <w:rsid w:val="00D45D49"/>
  </w:style>
  <w:style w:type="paragraph" w:styleId="NormalWeb">
    <w:name w:val="Normal (Web)"/>
    <w:basedOn w:val="Normal"/>
    <w:uiPriority w:val="99"/>
    <w:semiHidden/>
    <w:unhideWhenUsed/>
    <w:rsid w:val="00D4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64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271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122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37955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88920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aritimecyprus.com/author/maritimecyp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2024-04-05T04:30:00Z</dcterms:created>
  <dcterms:modified xsi:type="dcterms:W3CDTF">2024-04-05T06:42:00Z</dcterms:modified>
</cp:coreProperties>
</file>