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78" w:rsidRPr="00F53578" w:rsidRDefault="00F53578" w:rsidP="00F5357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Cộng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hòa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Quần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đảo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Marshall (MRI)</w:t>
      </w:r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: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Cần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tiếp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tục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cảnh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giác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khi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đi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vào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không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gian</w:t>
      </w:r>
      <w:proofErr w:type="spellEnd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F5357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kín</w:t>
      </w:r>
      <w:proofErr w:type="spellEnd"/>
    </w:p>
    <w:p w:rsidR="00F53578" w:rsidRPr="00F53578" w:rsidRDefault="00F53578" w:rsidP="00F5357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808080"/>
          <w:sz w:val="20"/>
          <w:szCs w:val="20"/>
        </w:rPr>
      </w:pPr>
      <w:r w:rsidRPr="00F53578">
        <w:rPr>
          <w:rFonts w:ascii="inherit" w:eastAsia="Times New Roman" w:hAnsi="inherit" w:cs="Helvetica"/>
          <w:color w:val="808080"/>
          <w:sz w:val="20"/>
          <w:szCs w:val="20"/>
        </w:rPr>
        <w:t> </w:t>
      </w:r>
    </w:p>
    <w:p w:rsidR="00F53578" w:rsidRPr="00F53578" w:rsidRDefault="00F53578" w:rsidP="00F535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F53578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F53578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"https://safety4sea.com/wp-content/uploads/2016/09/enclosed-space-area.png" </w:instrText>
      </w:r>
      <w:r w:rsidRPr="00F53578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F53578" w:rsidRPr="00F53578" w:rsidRDefault="00F53578" w:rsidP="00F535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3578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 wp14:anchorId="59E30E00" wp14:editId="769CFE86">
            <wp:extent cx="5715000" cy="3314700"/>
            <wp:effectExtent l="0" t="0" r="0" b="0"/>
            <wp:docPr id="1" name="Picture 1" descr="enclosed space entr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losed space entr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3578" w:rsidRPr="00F53578" w:rsidRDefault="00F53578" w:rsidP="00F53578">
      <w:pPr>
        <w:shd w:val="clear" w:color="auto" w:fill="FFFFFF"/>
        <w:spacing w:before="45" w:after="0" w:line="240" w:lineRule="auto"/>
        <w:jc w:val="right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53578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I</w:t>
      </w:r>
      <w:r w:rsidRPr="00F53578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F53578" w:rsidRPr="00F53578" w:rsidRDefault="00F53578" w:rsidP="00F53578">
      <w:pPr>
        <w:shd w:val="clear" w:color="auto" w:fill="FFFFFF"/>
        <w:spacing w:after="0" w:line="350" w:lineRule="atLeast"/>
        <w:jc w:val="both"/>
        <w:textAlignment w:val="baseline"/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</w:pP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Tính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từ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năm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2020,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đã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xảy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ra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tai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nạn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vào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gian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kín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trên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các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tàu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mang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cờ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RMI,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khiến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11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người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thiệt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mạng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. Do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đó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lý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Hàng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hải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của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Cộng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hòa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Quần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đảo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Marshall (RMI)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đã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ban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hành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cáo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về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an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toàn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hàng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hải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để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nhắc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nhở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các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nhà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quản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lý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tàu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về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sự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cần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thiết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phải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tiếp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tục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cảnh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giác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vào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gian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kín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ở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trên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tàu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và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huấn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luyện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cứu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nạn</w:t>
      </w:r>
      <w:proofErr w:type="spellEnd"/>
      <w:r w:rsidRPr="00F53578">
        <w:rPr>
          <w:rFonts w:ascii="Times New Roman" w:eastAsia="Times New Roman" w:hAnsi="Times New Roman" w:cs="Times New Roman"/>
          <w:color w:val="0070C0"/>
          <w:spacing w:val="-2"/>
          <w:sz w:val="26"/>
          <w:szCs w:val="26"/>
        </w:rPr>
        <w:t>.</w:t>
      </w:r>
    </w:p>
    <w:p w:rsidR="00F53578" w:rsidRPr="00F53578" w:rsidRDefault="00F53578" w:rsidP="00F5357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tai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nạn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gần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đây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được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khiến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thuyền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thiệt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mạng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tiếp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thiệt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mạng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cứu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nạn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kín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vai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trò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nhắc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nhở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nguy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liền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kín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ở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tàu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F53578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53578" w:rsidRPr="003B4248" w:rsidRDefault="00F53578" w:rsidP="003B42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Những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đ</w:t>
      </w:r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iểm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tương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đồng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B4248">
        <w:rPr>
          <w:rFonts w:ascii="Times New Roman" w:eastAsia="Times New Roman" w:hAnsi="Times New Roman" w:cs="Times New Roman"/>
          <w:b/>
          <w:sz w:val="26"/>
          <w:szCs w:val="26"/>
        </w:rPr>
        <w:t>nạn</w:t>
      </w:r>
      <w:proofErr w:type="spellEnd"/>
    </w:p>
    <w:p w:rsidR="00F53578" w:rsidRPr="003B4248" w:rsidRDefault="00F53578" w:rsidP="003B424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</w:t>
      </w:r>
      <w:r w:rsidR="003B4248">
        <w:rPr>
          <w:rFonts w:ascii="Times New Roman" w:eastAsia="Times New Roman" w:hAnsi="Times New Roman" w:cs="Times New Roman"/>
          <w:sz w:val="26"/>
          <w:szCs w:val="26"/>
        </w:rPr>
        <w:t>hính</w:t>
      </w:r>
      <w:proofErr w:type="spellEnd"/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hà</w:t>
      </w:r>
      <w:r w:rsidRPr="003B4248"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53578" w:rsidRPr="003B4248" w:rsidRDefault="00F53578" w:rsidP="003B4248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trợn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rủi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ro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53578" w:rsidRPr="003B4248" w:rsidRDefault="00F53578" w:rsidP="003B4248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ngừa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53578" w:rsidRPr="003B4248" w:rsidRDefault="00F53578" w:rsidP="003B4248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/ý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53578" w:rsidRPr="003B4248" w:rsidRDefault="00F53578" w:rsidP="003B4248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lastRenderedPageBreak/>
        <w:t>Quyền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dừng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đắn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</w:p>
    <w:p w:rsidR="00F53578" w:rsidRPr="003B4248" w:rsidRDefault="00F53578" w:rsidP="003B4248">
      <w:pPr>
        <w:pStyle w:val="ListParagraph"/>
        <w:numPr>
          <w:ilvl w:val="0"/>
          <w:numId w:val="5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3B424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4248" w:rsidRPr="00F53578" w:rsidRDefault="003B4248" w:rsidP="003B4248">
      <w:pPr>
        <w:shd w:val="clear" w:color="auto" w:fill="FFFFFF"/>
        <w:spacing w:before="120" w:after="120" w:line="360" w:lineRule="atLeast"/>
        <w:jc w:val="center"/>
        <w:textAlignment w:val="baseline"/>
        <w:rPr>
          <w:rFonts w:ascii="inherit" w:eastAsia="Times New Roman" w:hAnsi="inherit" w:cs="Helvetica"/>
          <w:color w:val="0070C0"/>
          <w:sz w:val="28"/>
          <w:szCs w:val="28"/>
        </w:rPr>
      </w:pPr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Do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đó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,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Chính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quyền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="00636FB2">
        <w:rPr>
          <w:rFonts w:ascii="inherit" w:eastAsia="Times New Roman" w:hAnsi="inherit" w:cs="Helvetica"/>
          <w:color w:val="0070C0"/>
          <w:sz w:val="28"/>
          <w:szCs w:val="28"/>
        </w:rPr>
        <w:t>hà</w:t>
      </w:r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ng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hải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đặc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biệt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khuyến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nghị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người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quản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lý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tàu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cần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rà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soát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và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sửa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đổi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,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nếu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cần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,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các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quy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trình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đi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vào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không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gian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kín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của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mình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để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đảm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bảo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chúng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tuân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thủ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các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quy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 xml:space="preserve"> </w:t>
      </w:r>
      <w:proofErr w:type="spellStart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định</w:t>
      </w:r>
      <w:proofErr w:type="spellEnd"/>
      <w:r w:rsidRPr="003B4248">
        <w:rPr>
          <w:rFonts w:ascii="inherit" w:eastAsia="Times New Roman" w:hAnsi="inherit" w:cs="Helvetica"/>
          <w:color w:val="0070C0"/>
          <w:sz w:val="28"/>
          <w:szCs w:val="28"/>
        </w:rPr>
        <w:t>.</w:t>
      </w:r>
    </w:p>
    <w:p w:rsidR="003B4248" w:rsidRPr="003B4248" w:rsidRDefault="00F53578" w:rsidP="003B4248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357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Chính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quyền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hàng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hải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đặc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biệt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khuyến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nghị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quản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tàu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rà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soát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lại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quy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trình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nếu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cần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thì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cập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nhật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chúng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đồng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thời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xem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xét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đến</w:t>
      </w:r>
      <w:proofErr w:type="spellEnd"/>
      <w:r w:rsidR="003B4248" w:rsidRPr="003B4248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hang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rào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ngừa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khoan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ai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3B4248">
        <w:rPr>
          <w:rFonts w:ascii="Times New Roman" w:eastAsia="Times New Roman" w:hAnsi="Times New Roman" w:cs="Times New Roman"/>
          <w:sz w:val="26"/>
          <w:szCs w:val="26"/>
        </w:rPr>
        <w:t>à</w:t>
      </w:r>
      <w:proofErr w:type="spellEnd"/>
    </w:p>
    <w:p w:rsidR="003B4248" w:rsidRPr="003B4248" w:rsidRDefault="003B4248" w:rsidP="003B4248">
      <w:pPr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chối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426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B424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3B4248">
        <w:rPr>
          <w:rFonts w:ascii="Times New Roman" w:eastAsia="Times New Roman" w:hAnsi="Times New Roman" w:cs="Times New Roman"/>
          <w:sz w:val="26"/>
          <w:szCs w:val="26"/>
        </w:rPr>
        <w:t xml:space="preserve"> ty</w:t>
      </w:r>
    </w:p>
    <w:p w:rsidR="004268FA" w:rsidRPr="00636FB2" w:rsidRDefault="00636FB2" w:rsidP="00636F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Chính</w:t>
      </w:r>
      <w:proofErr w:type="spellEnd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hàng</w:t>
      </w:r>
      <w:proofErr w:type="spellEnd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hải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cũng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đặc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biệt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khuyến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nghị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rằng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Thuyền</w:t>
      </w:r>
      <w:proofErr w:type="spellEnd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trưởng</w:t>
      </w:r>
      <w:proofErr w:type="spellEnd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cần</w:t>
      </w:r>
      <w:proofErr w:type="spellEnd"/>
      <w:r w:rsidR="004268FA" w:rsidRPr="00636FB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</w:p>
    <w:p w:rsidR="004268FA" w:rsidRPr="00636FB2" w:rsidRDefault="004268FA" w:rsidP="00636FB2">
      <w:pPr>
        <w:numPr>
          <w:ilvl w:val="0"/>
          <w:numId w:val="3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họp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an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đặc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xem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xét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tin do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tàu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chia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sẻ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tin được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cung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MSA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đặc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nhấn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cường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trách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rằng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tất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thuyền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ngăn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ngừa</w:t>
      </w:r>
      <w:proofErr w:type="spellEnd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thuyền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ở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bờ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xâm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trái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phép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kín</w:t>
      </w:r>
      <w:proofErr w:type="spellEnd"/>
      <w:r w:rsidRPr="00636FB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4268FA" w:rsidRPr="00636FB2" w:rsidRDefault="004268FA" w:rsidP="00636FB2">
      <w:pPr>
        <w:numPr>
          <w:ilvl w:val="0"/>
          <w:numId w:val="3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lastRenderedPageBreak/>
        <w:t>tiến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636FB2">
        <w:rPr>
          <w:rFonts w:ascii="Times New Roman" w:eastAsia="Times New Roman" w:hAnsi="Times New Roman" w:cs="Times New Roman"/>
          <w:sz w:val="26"/>
          <w:szCs w:val="26"/>
        </w:rPr>
        <w:t>à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268FA" w:rsidRPr="00636FB2" w:rsidRDefault="004268FA" w:rsidP="00636FB2">
      <w:pPr>
        <w:numPr>
          <w:ilvl w:val="0"/>
          <w:numId w:val="3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nhở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dừng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thâm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268FA" w:rsidRPr="00636FB2" w:rsidRDefault="00636FB2" w:rsidP="00636FB2">
      <w:pPr>
        <w:numPr>
          <w:ilvl w:val="0"/>
          <w:numId w:val="3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Rà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4268FA" w:rsidRPr="00636FB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</w:p>
    <w:p w:rsidR="004268FA" w:rsidRPr="00636FB2" w:rsidRDefault="004268FA" w:rsidP="00636FB2">
      <w:pPr>
        <w:numPr>
          <w:ilvl w:val="0"/>
          <w:numId w:val="3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kín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đợt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6FB2" w:rsidRPr="00636FB2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36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36FB2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</w:p>
    <w:p w:rsidR="00526E9D" w:rsidRPr="00636FB2" w:rsidRDefault="00636FB2" w:rsidP="00636FB2">
      <w:pPr>
        <w:jc w:val="center"/>
      </w:pPr>
      <w:r w:rsidRPr="00636FB2">
        <w:t>---------------------------------------------------------------</w:t>
      </w:r>
    </w:p>
    <w:sectPr w:rsidR="00526E9D" w:rsidRPr="00636FB2" w:rsidSect="00F5357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557"/>
    <w:multiLevelType w:val="multilevel"/>
    <w:tmpl w:val="AC70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C4F4C"/>
    <w:multiLevelType w:val="hybridMultilevel"/>
    <w:tmpl w:val="BB92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23B5C"/>
    <w:multiLevelType w:val="hybridMultilevel"/>
    <w:tmpl w:val="15C80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C1092"/>
    <w:multiLevelType w:val="multilevel"/>
    <w:tmpl w:val="BCB4C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26245"/>
    <w:multiLevelType w:val="multilevel"/>
    <w:tmpl w:val="67F0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78"/>
    <w:rsid w:val="003B4248"/>
    <w:rsid w:val="004268FA"/>
    <w:rsid w:val="00526E9D"/>
    <w:rsid w:val="00636FB2"/>
    <w:rsid w:val="00F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F5FE"/>
  <w15:chartTrackingRefBased/>
  <w15:docId w15:val="{842808A6-7103-40B1-8988-BA53C30A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3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F5357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F53578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F53578"/>
  </w:style>
  <w:style w:type="character" w:styleId="Hyperlink">
    <w:name w:val="Hyperlink"/>
    <w:basedOn w:val="DefaultParagraphFont"/>
    <w:uiPriority w:val="99"/>
    <w:semiHidden/>
    <w:unhideWhenUsed/>
    <w:rsid w:val="00F53578"/>
    <w:rPr>
      <w:color w:val="0000FF"/>
      <w:u w:val="single"/>
    </w:rPr>
  </w:style>
  <w:style w:type="paragraph" w:customStyle="1" w:styleId="wp-caption-text">
    <w:name w:val="wp-caption-text"/>
    <w:basedOn w:val="Normal"/>
    <w:rsid w:val="00F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F53578"/>
  </w:style>
  <w:style w:type="character" w:styleId="Strong">
    <w:name w:val="Strong"/>
    <w:basedOn w:val="DefaultParagraphFont"/>
    <w:uiPriority w:val="22"/>
    <w:qFormat/>
    <w:rsid w:val="00F53578"/>
    <w:rPr>
      <w:b/>
      <w:bCs/>
    </w:rPr>
  </w:style>
  <w:style w:type="paragraph" w:styleId="ListParagraph">
    <w:name w:val="List Paragraph"/>
    <w:basedOn w:val="Normal"/>
    <w:uiPriority w:val="34"/>
    <w:qFormat/>
    <w:rsid w:val="00F5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753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58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64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6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1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291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6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9343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1828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59751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fety4sea.com/wp-content/uploads/2016/09/enclosed-space-area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2024-04-06T03:25:00Z</dcterms:created>
  <dcterms:modified xsi:type="dcterms:W3CDTF">2024-04-06T04:05:00Z</dcterms:modified>
</cp:coreProperties>
</file>