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6F" w:rsidRPr="00F46E6F" w:rsidRDefault="00F46E6F" w:rsidP="00F46E6F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</w:pP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Câu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hỏi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thường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gặp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về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EU-ETS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dành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cho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vận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tải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biển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</w:p>
    <w:p w:rsidR="00F46E6F" w:rsidRPr="00F46E6F" w:rsidRDefault="00F46E6F" w:rsidP="00F46E6F">
      <w:pPr>
        <w:shd w:val="clear" w:color="auto" w:fill="FFFFFF"/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</w:pPr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(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Ấn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bản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lần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</w:t>
      </w:r>
      <w:proofErr w:type="spellStart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>thứ</w:t>
      </w:r>
      <w:proofErr w:type="spellEnd"/>
      <w:r w:rsidRPr="00F46E6F">
        <w:rPr>
          <w:rFonts w:ascii="Arial" w:eastAsia="Times New Roman" w:hAnsi="Arial" w:cs="Arial"/>
          <w:b/>
          <w:color w:val="0070C0"/>
          <w:kern w:val="36"/>
          <w:sz w:val="36"/>
          <w:szCs w:val="36"/>
        </w:rPr>
        <w:t xml:space="preserve"> 2)</w:t>
      </w:r>
    </w:p>
    <w:p w:rsidR="00396405" w:rsidRDefault="00F46E6F">
      <w:r>
        <w:rPr>
          <w:noProof/>
        </w:rPr>
        <w:drawing>
          <wp:inline distT="0" distB="0" distL="0" distR="0">
            <wp:extent cx="5943600" cy="3347545"/>
            <wp:effectExtent l="0" t="0" r="0" b="5715"/>
            <wp:docPr id="1" name="Picture 1" descr="https://maritimecyprus.com/wp-content/uploads/2024/01/EU-ETS-FAQ-2nd-Edition-696x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24/01/EU-ETS-FAQ-2nd-Edition-696x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6F" w:rsidRPr="00F46E6F" w:rsidRDefault="00F46E6F" w:rsidP="00F46E6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Thỏa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thuận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Paris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2015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chung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việc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trên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trong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tăng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nhiệt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cầu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2°C so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thời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tiền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1,5°C.</w:t>
      </w:r>
    </w:p>
    <w:p w:rsidR="00F46E6F" w:rsidRDefault="00F46E6F" w:rsidP="00F46E6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ngoại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lệ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Chiến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ban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IMO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tàu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(IMO)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2018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ra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tham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vọng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tổng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50%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2050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46E6F">
        <w:rPr>
          <w:rFonts w:ascii="Arial" w:eastAsia="Times New Roman" w:hAnsi="Arial" w:cs="Arial"/>
          <w:sz w:val="24"/>
          <w:szCs w:val="24"/>
        </w:rPr>
        <w:t xml:space="preserve">so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2008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chiến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sửa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củng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cố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tại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phiên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họp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thứ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80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Ủy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ban Bảo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vệ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Biển IMO (MEPC 80)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7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2023.</w:t>
      </w:r>
    </w:p>
    <w:p w:rsidR="009E1085" w:rsidRPr="00F46E6F" w:rsidRDefault="009E1085" w:rsidP="009E108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46E6F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minh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(EU)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đặt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giảm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kính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55%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2030 so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1990,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với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mức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ròng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0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2050. </w:t>
      </w:r>
      <w:proofErr w:type="spellStart"/>
      <w:r>
        <w:rPr>
          <w:rFonts w:ascii="Arial" w:eastAsia="Times New Roman" w:hAnsi="Arial" w:cs="Arial"/>
          <w:sz w:val="24"/>
          <w:szCs w:val="24"/>
        </w:rPr>
        <w:t>T</w:t>
      </w:r>
      <w:r w:rsidRPr="00F46E6F">
        <w:rPr>
          <w:rFonts w:ascii="Arial" w:eastAsia="Times New Roman" w:hAnsi="Arial" w:cs="Arial"/>
          <w:sz w:val="24"/>
          <w:szCs w:val="24"/>
        </w:rPr>
        <w:t>háng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7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2021,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gói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sách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hậu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diện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, “Fit for 55”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bố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đạt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mục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tiêu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2030,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mở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rộng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thống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mua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bán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EU (EU-ETS)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lĩnh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Tính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cuối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2023,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đề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xuất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xem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xét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lần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cuối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bởi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Nghị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viện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Hội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minh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nhằm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nó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F46E6F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F46E6F">
        <w:rPr>
          <w:rFonts w:ascii="Arial" w:eastAsia="Times New Roman" w:hAnsi="Arial" w:cs="Arial"/>
          <w:sz w:val="24"/>
          <w:szCs w:val="24"/>
        </w:rPr>
        <w:t xml:space="preserve"> 2024.</w:t>
      </w:r>
    </w:p>
    <w:p w:rsidR="009E1085" w:rsidRPr="00F46E6F" w:rsidRDefault="009E1085" w:rsidP="009E1085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</w:rPr>
      </w:pP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Bảng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dưới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: </w:t>
      </w:r>
      <w:bookmarkStart w:id="0" w:name="_GoBack"/>
      <w:bookmarkEnd w:id="0"/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Thời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gian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biểu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áp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dụng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EU-ETS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cho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vận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tải</w:t>
      </w:r>
      <w:proofErr w:type="spellEnd"/>
      <w:r w:rsidRPr="009E1085">
        <w:rPr>
          <w:rFonts w:ascii="Arial" w:eastAsia="Times New Roman" w:hAnsi="Arial" w:cs="Arial"/>
          <w:color w:val="7030A0"/>
          <w:sz w:val="24"/>
          <w:szCs w:val="24"/>
        </w:rPr>
        <w:t xml:space="preserve"> </w:t>
      </w:r>
      <w:proofErr w:type="spellStart"/>
      <w:r w:rsidRPr="009E1085">
        <w:rPr>
          <w:rFonts w:ascii="Arial" w:eastAsia="Times New Roman" w:hAnsi="Arial" w:cs="Arial"/>
          <w:color w:val="7030A0"/>
          <w:sz w:val="24"/>
          <w:szCs w:val="24"/>
        </w:rPr>
        <w:t>biển</w:t>
      </w:r>
      <w:proofErr w:type="spellEnd"/>
    </w:p>
    <w:p w:rsidR="00F46E6F" w:rsidRPr="00F46E6F" w:rsidRDefault="00F46E6F" w:rsidP="00F46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E6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6095364" cy="3838762"/>
            <wp:effectExtent l="0" t="0" r="1270" b="0"/>
            <wp:docPr id="2" name="Picture 2" descr="https://maritimecyprus.com/wp-content/uploads/2024/01/EU-ETS-fa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24/01/EU-ETS-fa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6" b="5385"/>
                    <a:stretch/>
                  </pic:blipFill>
                  <pic:spPr bwMode="auto">
                    <a:xfrm>
                      <a:off x="0" y="0"/>
                      <a:ext cx="6117630" cy="385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E6F" w:rsidRPr="00F46E6F" w:rsidRDefault="009E1085" w:rsidP="009E1085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6E6F">
        <w:rPr>
          <w:rFonts w:ascii="Arial" w:eastAsia="Times New Roman" w:hAnsi="Arial" w:cs="Arial"/>
          <w:sz w:val="24"/>
          <w:szCs w:val="24"/>
        </w:rPr>
        <w:t xml:space="preserve"> </w:t>
      </w:r>
      <w:r w:rsidR="00F46E6F" w:rsidRPr="00F46E6F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hỏi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gặp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EU-ETS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dành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Ấn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thứ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2)”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tin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tổng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EU-ETS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lĩnh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chuẩn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dạng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Hỏi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&amp;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Đáp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hỗ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trợ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hàng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nỗ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lực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tiên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tuân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EU- ETS.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thực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sửa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thị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EU-ETS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ban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hành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hỗ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trợ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đến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EU-MRV,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bản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sửa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đổi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dẫn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tiến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tuân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thể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ty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tải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Nó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tin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tài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liệu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mẫu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thiết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tuân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quy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cập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nhật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cụ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hỗ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trợ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46E6F" w:rsidRPr="00F46E6F">
        <w:rPr>
          <w:rFonts w:ascii="Arial" w:eastAsia="Times New Roman" w:hAnsi="Arial" w:cs="Arial"/>
          <w:sz w:val="24"/>
          <w:szCs w:val="24"/>
        </w:rPr>
        <w:t>ClassNK</w:t>
      </w:r>
      <w:proofErr w:type="spellEnd"/>
      <w:r w:rsidR="00F46E6F" w:rsidRPr="00F46E6F">
        <w:rPr>
          <w:rFonts w:ascii="Arial" w:eastAsia="Times New Roman" w:hAnsi="Arial" w:cs="Arial"/>
          <w:sz w:val="24"/>
          <w:szCs w:val="24"/>
        </w:rPr>
        <w:t>.</w:t>
      </w:r>
    </w:p>
    <w:p w:rsidR="00F46E6F" w:rsidRPr="00F46E6F" w:rsidRDefault="00F46E6F" w:rsidP="009E1085">
      <w:pPr>
        <w:pStyle w:val="Heading2"/>
        <w:shd w:val="clear" w:color="auto" w:fill="FFFFFF"/>
        <w:spacing w:before="120" w:after="120" w:line="570" w:lineRule="atLeast"/>
        <w:rPr>
          <w:rFonts w:ascii="Arial" w:hAnsi="Arial" w:cs="Arial"/>
          <w:sz w:val="24"/>
          <w:szCs w:val="24"/>
        </w:rPr>
      </w:pP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Tải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xuống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bên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dưới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hỏi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thường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gặp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(FAQ)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phiên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bản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2 </w:t>
      </w:r>
      <w:proofErr w:type="spellStart"/>
      <w:r w:rsidRPr="00F46E6F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00F46E6F">
        <w:rPr>
          <w:rFonts w:ascii="Arial" w:hAnsi="Arial" w:cs="Arial"/>
          <w:b/>
          <w:bCs/>
          <w:sz w:val="24"/>
          <w:szCs w:val="24"/>
        </w:rPr>
        <w:t xml:space="preserve"> EU-ETS:</w:t>
      </w:r>
    </w:p>
    <w:p w:rsidR="00F46E6F" w:rsidRDefault="00F46E6F" w:rsidP="009E1085">
      <w:pPr>
        <w:shd w:val="clear" w:color="auto" w:fill="FFFFFF"/>
        <w:spacing w:after="120" w:line="240" w:lineRule="auto"/>
        <w:rPr>
          <w:rFonts w:ascii="Merriweather Sans" w:eastAsia="Times New Roman" w:hAnsi="Merriweather Sans" w:cs="Times New Roman"/>
          <w:color w:val="222222"/>
          <w:sz w:val="28"/>
          <w:szCs w:val="28"/>
        </w:rPr>
      </w:pPr>
      <w:hyperlink r:id="rId7" w:history="1">
        <w:r w:rsidRPr="009E1085">
          <w:rPr>
            <w:rStyle w:val="Hyperlink"/>
            <w:rFonts w:ascii="Merriweather Sans" w:eastAsia="Times New Roman" w:hAnsi="Merriweather Sans" w:cs="Times New Roman"/>
            <w:sz w:val="28"/>
            <w:szCs w:val="28"/>
          </w:rPr>
          <w:t>https://maritimecyprus.com/wp-content/uploads/2024/01/EU-ETS_FAQ_2nd-Edition.pdf</w:t>
        </w:r>
      </w:hyperlink>
    </w:p>
    <w:p w:rsidR="009E1085" w:rsidRPr="009E1085" w:rsidRDefault="009E1085" w:rsidP="009E1085">
      <w:pPr>
        <w:shd w:val="clear" w:color="auto" w:fill="FFFFFF"/>
        <w:spacing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8"/>
          <w:szCs w:val="28"/>
        </w:rPr>
      </w:pPr>
      <w:r>
        <w:rPr>
          <w:rFonts w:ascii="Merriweather Sans" w:eastAsia="Times New Roman" w:hAnsi="Merriweather Sans" w:cs="Times New Roman"/>
          <w:color w:val="222222"/>
          <w:sz w:val="28"/>
          <w:szCs w:val="28"/>
        </w:rPr>
        <w:t>--------------------------------------------</w:t>
      </w:r>
    </w:p>
    <w:p w:rsidR="00F46E6F" w:rsidRPr="00F46E6F" w:rsidRDefault="00F46E6F" w:rsidP="00F46E6F">
      <w:pPr>
        <w:shd w:val="clear" w:color="auto" w:fill="FFFFFF"/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sectPr w:rsidR="00F46E6F" w:rsidRPr="00F46E6F" w:rsidSect="00F46E6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6F"/>
    <w:rsid w:val="00396405"/>
    <w:rsid w:val="009E1085"/>
    <w:rsid w:val="00F4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93D9"/>
  <w15:chartTrackingRefBased/>
  <w15:docId w15:val="{DFF6C058-332D-48E9-B246-E93226C4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6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6E6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46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itimecyprus.com/wp-content/uploads/2024/01/EU-ETS_FAQ_2nd-Edi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aritimecyprus.com/wp-content/uploads/2024/01/EU-ETS-faq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2024-01-21T04:20:00Z</dcterms:created>
  <dcterms:modified xsi:type="dcterms:W3CDTF">2024-01-21T04:33:00Z</dcterms:modified>
</cp:coreProperties>
</file>