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8D20" w14:textId="6F0B3846" w:rsidR="00CB485D" w:rsidRPr="00DA63D0" w:rsidRDefault="00CB485D" w:rsidP="00CB485D">
      <w:pPr>
        <w:shd w:val="clear" w:color="auto" w:fill="FFFFFF"/>
        <w:spacing w:after="105" w:line="240" w:lineRule="auto"/>
        <w:jc w:val="center"/>
        <w:outlineLvl w:val="0"/>
        <w:rPr>
          <w:rFonts w:ascii="Roboto" w:eastAsia="Times New Roman" w:hAnsi="Roboto" w:cs="Times New Roman"/>
          <w:b/>
          <w:bCs/>
          <w:color w:val="0070C0"/>
          <w:kern w:val="36"/>
          <w:sz w:val="28"/>
          <w:szCs w:val="28"/>
          <w:lang w:val="en-GB" w:eastAsia="en-GB"/>
          <w14:ligatures w14:val="none"/>
        </w:rPr>
      </w:pPr>
      <w:r w:rsidRPr="00DA63D0">
        <w:rPr>
          <w:rFonts w:ascii="Roboto" w:eastAsia="Times New Roman" w:hAnsi="Roboto" w:cs="Times New Roman"/>
          <w:b/>
          <w:bCs/>
          <w:color w:val="0070C0"/>
          <w:kern w:val="36"/>
          <w:sz w:val="28"/>
          <w:szCs w:val="28"/>
          <w:lang w:val="en-GB" w:eastAsia="en-GB"/>
          <w14:ligatures w14:val="none"/>
        </w:rPr>
        <w:t>Vượt qua các trở ngại pháp lý: Sổ tay pháp lý dành cho Thuyền trưởng</w:t>
      </w:r>
    </w:p>
    <w:p w14:paraId="6141F693" w14:textId="7C213400" w:rsidR="00CB485D" w:rsidRDefault="00CB485D" w:rsidP="00DA63D0">
      <w:pPr>
        <w:shd w:val="clear" w:color="auto" w:fill="FFFFFF"/>
        <w:spacing w:after="240" w:line="240" w:lineRule="auto"/>
        <w:outlineLvl w:val="0"/>
        <w:rPr>
          <w:rFonts w:ascii="Roboto" w:eastAsia="Times New Roman" w:hAnsi="Roboto" w:cs="Times New Roman"/>
          <w:kern w:val="36"/>
          <w:sz w:val="28"/>
          <w:szCs w:val="28"/>
          <w:lang w:val="en-GB" w:eastAsia="en-GB"/>
          <w14:ligatures w14:val="none"/>
        </w:rPr>
      </w:pPr>
      <w:r>
        <w:rPr>
          <w:noProof/>
        </w:rPr>
        <w:drawing>
          <wp:inline distT="0" distB="0" distL="0" distR="0" wp14:anchorId="54788643" wp14:editId="229A2538">
            <wp:extent cx="5943600" cy="3893820"/>
            <wp:effectExtent l="0" t="0" r="0" b="0"/>
            <wp:docPr id="107931790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93820"/>
                    </a:xfrm>
                    <a:prstGeom prst="rect">
                      <a:avLst/>
                    </a:prstGeom>
                    <a:noFill/>
                    <a:ln>
                      <a:noFill/>
                    </a:ln>
                  </pic:spPr>
                </pic:pic>
              </a:graphicData>
            </a:graphic>
          </wp:inline>
        </w:drawing>
      </w:r>
    </w:p>
    <w:p w14:paraId="4F85F6C8" w14:textId="56417118" w:rsidR="00CB485D" w:rsidRPr="00CB485D" w:rsidRDefault="00CB485D" w:rsidP="00DA63D0">
      <w:pPr>
        <w:pStyle w:val="ThngthngWeb"/>
        <w:shd w:val="clear" w:color="auto" w:fill="FFFFFF"/>
        <w:jc w:val="both"/>
        <w:rPr>
          <w:color w:val="222222"/>
        </w:rPr>
      </w:pPr>
      <w:r w:rsidRPr="00CB485D">
        <w:rPr>
          <w:color w:val="222222"/>
        </w:rPr>
        <w:t xml:space="preserve">Thuyền trưởng phải tuân thủ luật pháp quốc gia và quốc tế </w:t>
      </w:r>
      <w:r>
        <w:rPr>
          <w:color w:val="222222"/>
        </w:rPr>
        <w:t xml:space="preserve">được áp </w:t>
      </w:r>
      <w:r w:rsidRPr="00CB485D">
        <w:rPr>
          <w:color w:val="222222"/>
        </w:rPr>
        <w:t xml:space="preserve">dụng </w:t>
      </w:r>
      <w:r>
        <w:rPr>
          <w:color w:val="222222"/>
        </w:rPr>
        <w:t>trên</w:t>
      </w:r>
      <w:r w:rsidRPr="00CB485D">
        <w:rPr>
          <w:color w:val="222222"/>
        </w:rPr>
        <w:t xml:space="preserve"> tất cả các tàu biển. Vì vậy, mục đích của cuốn sổ tay này là cung cấp </w:t>
      </w:r>
      <w:r>
        <w:rPr>
          <w:color w:val="222222"/>
        </w:rPr>
        <w:t xml:space="preserve">một </w:t>
      </w:r>
      <w:r w:rsidRPr="00CB485D">
        <w:rPr>
          <w:color w:val="222222"/>
        </w:rPr>
        <w:t xml:space="preserve">cái nhìn sâu sắc về các quy định và luật pháp quốc gia và quốc tế. Cuốn sách tập trung chủ yếu vào an toàn của tàu, thủy thủ đoàn, môi trường và </w:t>
      </w:r>
      <w:r>
        <w:rPr>
          <w:color w:val="222222"/>
        </w:rPr>
        <w:t xml:space="preserve">các </w:t>
      </w:r>
      <w:r w:rsidRPr="00CB485D">
        <w:rPr>
          <w:color w:val="222222"/>
        </w:rPr>
        <w:t xml:space="preserve">hoạt động hàng hóa, bất kể </w:t>
      </w:r>
      <w:r>
        <w:rPr>
          <w:color w:val="222222"/>
        </w:rPr>
        <w:t>quốc tịch của</w:t>
      </w:r>
      <w:r w:rsidRPr="00CB485D">
        <w:rPr>
          <w:color w:val="222222"/>
        </w:rPr>
        <w:t xml:space="preserve"> tàu hay của thủy thủ đoàn.</w:t>
      </w:r>
    </w:p>
    <w:p w14:paraId="615926E7" w14:textId="3CCD102A" w:rsidR="00CB485D" w:rsidRPr="00CB485D" w:rsidRDefault="00CB485D" w:rsidP="00DA63D0">
      <w:pPr>
        <w:pStyle w:val="ThngthngWeb"/>
        <w:shd w:val="clear" w:color="auto" w:fill="FFFFFF"/>
        <w:jc w:val="both"/>
        <w:rPr>
          <w:color w:val="222222"/>
        </w:rPr>
      </w:pPr>
      <w:r w:rsidRPr="00CB485D">
        <w:rPr>
          <w:color w:val="222222"/>
        </w:rPr>
        <w:t xml:space="preserve">Cuốn sách này là Cẩm nang </w:t>
      </w:r>
      <w:r>
        <w:rPr>
          <w:color w:val="222222"/>
        </w:rPr>
        <w:t xml:space="preserve">về </w:t>
      </w:r>
      <w:r w:rsidRPr="00CB485D">
        <w:rPr>
          <w:color w:val="222222"/>
        </w:rPr>
        <w:t xml:space="preserve">tiêu chuẩn quốc tế trên toàn thế giới dành cho thuyền trưởng và tất cả các bên quan tâm khác Luật hàng hải quốc gia của các </w:t>
      </w:r>
      <w:r>
        <w:rPr>
          <w:color w:val="222222"/>
        </w:rPr>
        <w:t>nước</w:t>
      </w:r>
      <w:r w:rsidRPr="00CB485D">
        <w:rPr>
          <w:color w:val="222222"/>
        </w:rPr>
        <w:t xml:space="preserve"> gần như có thể so sánh được vì những luật này </w:t>
      </w:r>
      <w:r>
        <w:rPr>
          <w:color w:val="222222"/>
        </w:rPr>
        <w:t xml:space="preserve">đều </w:t>
      </w:r>
      <w:r w:rsidRPr="00CB485D">
        <w:rPr>
          <w:color w:val="222222"/>
        </w:rPr>
        <w:t xml:space="preserve">bắt nguồn từ nhiều </w:t>
      </w:r>
      <w:r>
        <w:rPr>
          <w:color w:val="222222"/>
        </w:rPr>
        <w:t>công ước</w:t>
      </w:r>
      <w:r w:rsidRPr="00CB485D">
        <w:rPr>
          <w:color w:val="222222"/>
        </w:rPr>
        <w:t xml:space="preserve"> hàng hải quốc tế. Ở hầu hết các quốc gia, luật hàng hải tuân theo một bộ luật riêng biệt và có thẩm quyền xét xử độc lập với luật pháp quốc gia. Các trụ cột quốc tế cho luật hàng hải quốc gia là:</w:t>
      </w:r>
    </w:p>
    <w:p w14:paraId="34365A5D" w14:textId="49F7774B" w:rsidR="00CB485D" w:rsidRPr="00CB485D" w:rsidRDefault="00CB485D" w:rsidP="00CB485D">
      <w:pPr>
        <w:pStyle w:val="ThngthngWeb"/>
        <w:numPr>
          <w:ilvl w:val="0"/>
          <w:numId w:val="3"/>
        </w:numPr>
        <w:shd w:val="clear" w:color="auto" w:fill="FFFFFF"/>
        <w:spacing w:after="390"/>
        <w:jc w:val="both"/>
        <w:rPr>
          <w:color w:val="222222"/>
        </w:rPr>
      </w:pPr>
      <w:r w:rsidRPr="00CB485D">
        <w:rPr>
          <w:color w:val="222222"/>
        </w:rPr>
        <w:t>Công ước Liên Hiệp Quốc về Luật Biển (UNCLOS)</w:t>
      </w:r>
    </w:p>
    <w:p w14:paraId="24357196" w14:textId="30DFFCEE" w:rsidR="00CB485D" w:rsidRPr="00CB485D" w:rsidRDefault="00CB485D" w:rsidP="00CB485D">
      <w:pPr>
        <w:pStyle w:val="ThngthngWeb"/>
        <w:numPr>
          <w:ilvl w:val="0"/>
          <w:numId w:val="3"/>
        </w:numPr>
        <w:shd w:val="clear" w:color="auto" w:fill="FFFFFF"/>
        <w:spacing w:after="390"/>
        <w:jc w:val="both"/>
        <w:rPr>
          <w:color w:val="222222"/>
        </w:rPr>
      </w:pPr>
      <w:r w:rsidRPr="00CB485D">
        <w:rPr>
          <w:color w:val="222222"/>
        </w:rPr>
        <w:t>Công ước quốc tế về ngăn ngừa ô nhiễm từ tàu (MARPOL)</w:t>
      </w:r>
    </w:p>
    <w:p w14:paraId="31534C21" w14:textId="3FFF3926" w:rsidR="00CB485D" w:rsidRPr="00CB485D" w:rsidRDefault="00CB485D" w:rsidP="00CB485D">
      <w:pPr>
        <w:pStyle w:val="ThngthngWeb"/>
        <w:numPr>
          <w:ilvl w:val="0"/>
          <w:numId w:val="3"/>
        </w:numPr>
        <w:shd w:val="clear" w:color="auto" w:fill="FFFFFF"/>
        <w:spacing w:after="390"/>
        <w:jc w:val="both"/>
        <w:rPr>
          <w:color w:val="222222"/>
        </w:rPr>
      </w:pPr>
      <w:r w:rsidRPr="00CB485D">
        <w:rPr>
          <w:color w:val="222222"/>
        </w:rPr>
        <w:t>Công ước quốc tế về an toàn sinh mạng trên biển (SOLAS)</w:t>
      </w:r>
    </w:p>
    <w:p w14:paraId="639C5026" w14:textId="15DE8087" w:rsidR="00CB485D" w:rsidRPr="00CB485D" w:rsidRDefault="00CB485D" w:rsidP="00CB485D">
      <w:pPr>
        <w:pStyle w:val="ThngthngWeb"/>
        <w:numPr>
          <w:ilvl w:val="0"/>
          <w:numId w:val="3"/>
        </w:numPr>
        <w:shd w:val="clear" w:color="auto" w:fill="FFFFFF"/>
        <w:spacing w:after="390"/>
        <w:jc w:val="both"/>
        <w:rPr>
          <w:color w:val="222222"/>
        </w:rPr>
      </w:pPr>
      <w:r w:rsidRPr="00CB485D">
        <w:rPr>
          <w:color w:val="222222"/>
        </w:rPr>
        <w:t xml:space="preserve">Công ước quốc tế về tiêu chuẩn </w:t>
      </w:r>
      <w:r>
        <w:rPr>
          <w:color w:val="222222"/>
        </w:rPr>
        <w:t>huấn luyện</w:t>
      </w:r>
      <w:r w:rsidRPr="00CB485D">
        <w:rPr>
          <w:color w:val="222222"/>
        </w:rPr>
        <w:t>, cấp chứng chỉ và trực ca cho thuyền viên (STCW)</w:t>
      </w:r>
    </w:p>
    <w:p w14:paraId="1F721845" w14:textId="636A5DB8" w:rsidR="00CB485D" w:rsidRPr="00CB485D" w:rsidRDefault="00CB485D" w:rsidP="00DA63D0">
      <w:pPr>
        <w:pStyle w:val="ThngthngWeb"/>
        <w:numPr>
          <w:ilvl w:val="0"/>
          <w:numId w:val="3"/>
        </w:numPr>
        <w:shd w:val="clear" w:color="auto" w:fill="FFFFFF"/>
        <w:spacing w:before="0" w:beforeAutospacing="0" w:after="120" w:afterAutospacing="0"/>
        <w:jc w:val="both"/>
        <w:rPr>
          <w:color w:val="222222"/>
        </w:rPr>
      </w:pPr>
      <w:r w:rsidRPr="00CB485D">
        <w:rPr>
          <w:color w:val="222222"/>
        </w:rPr>
        <w:t>Công ước Lao động Hàng hải (MLC)</w:t>
      </w:r>
    </w:p>
    <w:p w14:paraId="6BEB2E4D" w14:textId="1E8D1591" w:rsidR="00CB485D" w:rsidRPr="00CB485D" w:rsidRDefault="00CB485D" w:rsidP="00DA63D0">
      <w:pPr>
        <w:pStyle w:val="ThngthngWeb"/>
        <w:shd w:val="clear" w:color="auto" w:fill="FFFFFF"/>
        <w:spacing w:before="120" w:beforeAutospacing="0" w:after="120" w:afterAutospacing="0"/>
        <w:jc w:val="both"/>
        <w:rPr>
          <w:color w:val="222222"/>
        </w:rPr>
      </w:pPr>
      <w:r w:rsidRPr="00CB485D">
        <w:rPr>
          <w:color w:val="222222"/>
        </w:rPr>
        <w:t xml:space="preserve">Sổ tay này giải thích các </w:t>
      </w:r>
      <w:r>
        <w:rPr>
          <w:color w:val="222222"/>
        </w:rPr>
        <w:t>thuật ngữ</w:t>
      </w:r>
      <w:r w:rsidRPr="00CB485D">
        <w:rPr>
          <w:color w:val="222222"/>
        </w:rPr>
        <w:t xml:space="preserve"> pháp lý quan trọng nhất của luật pháp quốc gia và quốc tế </w:t>
      </w:r>
      <w:r>
        <w:rPr>
          <w:color w:val="222222"/>
        </w:rPr>
        <w:t>cho</w:t>
      </w:r>
      <w:r w:rsidRPr="00CB485D">
        <w:rPr>
          <w:color w:val="222222"/>
        </w:rPr>
        <w:t xml:space="preserve"> thuyền trưởng. Ảnh hưởng của các quy định của EU đối với luật hàng hải quốc gia của các nước thành viên EU cũng được mô tả. Luật pháp quốc gia của </w:t>
      </w:r>
      <w:r w:rsidR="00DA63D0">
        <w:rPr>
          <w:color w:val="222222"/>
        </w:rPr>
        <w:t>nước</w:t>
      </w:r>
      <w:r w:rsidRPr="00CB485D">
        <w:rPr>
          <w:color w:val="222222"/>
        </w:rPr>
        <w:t xml:space="preserve"> </w:t>
      </w:r>
      <w:r w:rsidR="00DA63D0">
        <w:rPr>
          <w:color w:val="222222"/>
        </w:rPr>
        <w:t>tàu mang</w:t>
      </w:r>
      <w:r w:rsidRPr="00CB485D">
        <w:rPr>
          <w:color w:val="222222"/>
        </w:rPr>
        <w:t xml:space="preserve"> cờ có quyền ưu tiên </w:t>
      </w:r>
      <w:r w:rsidR="00DA63D0">
        <w:rPr>
          <w:color w:val="222222"/>
        </w:rPr>
        <w:t>ở trên</w:t>
      </w:r>
      <w:r w:rsidRPr="00CB485D">
        <w:rPr>
          <w:color w:val="222222"/>
        </w:rPr>
        <w:t xml:space="preserve"> tàu trừ khi tàu </w:t>
      </w:r>
      <w:r w:rsidR="00DA63D0">
        <w:rPr>
          <w:color w:val="222222"/>
        </w:rPr>
        <w:t xml:space="preserve">đang ở </w:t>
      </w:r>
      <w:r w:rsidRPr="00CB485D">
        <w:rPr>
          <w:color w:val="222222"/>
        </w:rPr>
        <w:t xml:space="preserve">trong vùng biển của </w:t>
      </w:r>
      <w:r w:rsidR="00DA63D0">
        <w:rPr>
          <w:color w:val="222222"/>
        </w:rPr>
        <w:t xml:space="preserve">một </w:t>
      </w:r>
      <w:r w:rsidRPr="00CB485D">
        <w:rPr>
          <w:color w:val="222222"/>
        </w:rPr>
        <w:t xml:space="preserve">quốc gia ven biển nước ngoài. Do đó, hệ thống phân </w:t>
      </w:r>
      <w:r w:rsidRPr="00CB485D">
        <w:rPr>
          <w:color w:val="222222"/>
        </w:rPr>
        <w:lastRenderedPageBreak/>
        <w:t>cấp hoặc mức độ ưu tiên của các khu vực pháp lý và pháp luật khác nhau ở các vùng biển khác nhau được giải thích rộng rãi trong Sổ tay</w:t>
      </w:r>
      <w:r w:rsidR="00DA63D0">
        <w:rPr>
          <w:color w:val="222222"/>
        </w:rPr>
        <w:t xml:space="preserve"> này</w:t>
      </w:r>
      <w:r w:rsidRPr="00CB485D">
        <w:rPr>
          <w:color w:val="222222"/>
        </w:rPr>
        <w:t>.</w:t>
      </w:r>
    </w:p>
    <w:p w14:paraId="385C3E87" w14:textId="1FC78C20" w:rsidR="00CB485D" w:rsidRPr="00CB485D" w:rsidRDefault="00CB485D" w:rsidP="00DA63D0">
      <w:pPr>
        <w:pStyle w:val="ThngthngWeb"/>
        <w:shd w:val="clear" w:color="auto" w:fill="FFFFFF"/>
        <w:spacing w:before="120" w:beforeAutospacing="0" w:after="120" w:afterAutospacing="0"/>
        <w:jc w:val="both"/>
        <w:rPr>
          <w:color w:val="222222"/>
        </w:rPr>
      </w:pPr>
      <w:r w:rsidRPr="00CB485D">
        <w:rPr>
          <w:color w:val="222222"/>
        </w:rPr>
        <w:t xml:space="preserve">Sổ tay này không được viết bằng ngôn ngữ pháp lý mà bằng ngôn ngữ của thuyền trưởng và thuyền viên. Sổ tay pháp lý </w:t>
      </w:r>
      <w:r w:rsidR="00DA63D0">
        <w:rPr>
          <w:color w:val="222222"/>
        </w:rPr>
        <w:t>cho Thuyền trưởng</w:t>
      </w:r>
      <w:r w:rsidRPr="00CB485D">
        <w:rPr>
          <w:color w:val="222222"/>
        </w:rPr>
        <w:t xml:space="preserve"> sẽ là vô giá đối với bất kỳ thuyền trưởng nào ở bất cứ đâu trên thế giới. Người thuyền trưởng là trung tâm của cuốn sách này.</w:t>
      </w:r>
    </w:p>
    <w:p w14:paraId="459B960E" w14:textId="77777777" w:rsidR="00DA63D0" w:rsidRDefault="00CB485D" w:rsidP="00DA63D0">
      <w:pPr>
        <w:pStyle w:val="ThngthngWeb"/>
        <w:shd w:val="clear" w:color="auto" w:fill="FFFFFF"/>
        <w:spacing w:before="0" w:beforeAutospacing="0" w:after="0" w:afterAutospacing="0"/>
        <w:jc w:val="both"/>
        <w:rPr>
          <w:color w:val="222222"/>
        </w:rPr>
      </w:pPr>
      <w:r w:rsidRPr="00CB485D">
        <w:rPr>
          <w:color w:val="222222"/>
        </w:rPr>
        <w:t xml:space="preserve">Bạn có thể tải Sổ tay </w:t>
      </w:r>
      <w:r w:rsidR="00DA63D0">
        <w:rPr>
          <w:color w:val="222222"/>
        </w:rPr>
        <w:t xml:space="preserve">này </w:t>
      </w:r>
      <w:r w:rsidRPr="00CB485D">
        <w:rPr>
          <w:color w:val="222222"/>
        </w:rPr>
        <w:t xml:space="preserve">xuống bằng cách nhấp vào </w:t>
      </w:r>
      <w:r w:rsidR="00DA63D0">
        <w:rPr>
          <w:color w:val="222222"/>
        </w:rPr>
        <w:t>đường link sau</w:t>
      </w:r>
      <w:r w:rsidRPr="00CB485D">
        <w:rPr>
          <w:color w:val="222222"/>
        </w:rPr>
        <w:t>:</w:t>
      </w:r>
      <w:r w:rsidR="00DA63D0">
        <w:rPr>
          <w:color w:val="222222"/>
        </w:rPr>
        <w:t xml:space="preserve"> </w:t>
      </w:r>
    </w:p>
    <w:p w14:paraId="38A6F00A" w14:textId="3792F810" w:rsidR="00DA63D0" w:rsidRPr="00DA63D0" w:rsidRDefault="00DA63D0" w:rsidP="00DA63D0">
      <w:pPr>
        <w:pStyle w:val="ThngthngWeb"/>
        <w:shd w:val="clear" w:color="auto" w:fill="FFFFFF"/>
        <w:spacing w:before="0" w:beforeAutospacing="0" w:after="0" w:afterAutospacing="0"/>
        <w:jc w:val="both"/>
        <w:rPr>
          <w:rFonts w:ascii="Roboto" w:hAnsi="Roboto"/>
          <w:kern w:val="36"/>
        </w:rPr>
      </w:pPr>
      <w:hyperlink r:id="rId6" w:history="1">
        <w:r w:rsidRPr="00BA2999">
          <w:rPr>
            <w:rStyle w:val="Siuktni"/>
            <w:rFonts w:ascii="Roboto" w:hAnsi="Roboto"/>
            <w:kern w:val="36"/>
          </w:rPr>
          <w:t>https://maritimecyprus.com/wp-content/uploads/2020/05/legalhandbook2020digital2.0.pdf</w:t>
        </w:r>
      </w:hyperlink>
    </w:p>
    <w:p w14:paraId="43364DEE" w14:textId="30FCE0D9" w:rsidR="00DA63D0" w:rsidRDefault="00DA63D0" w:rsidP="00DA63D0">
      <w:pPr>
        <w:pStyle w:val="ThngthngWeb"/>
        <w:shd w:val="clear" w:color="auto" w:fill="FFFFFF"/>
        <w:spacing w:before="0" w:beforeAutospacing="0" w:after="120" w:afterAutospacing="0"/>
        <w:jc w:val="center"/>
        <w:rPr>
          <w:rFonts w:ascii="Roboto" w:hAnsi="Roboto"/>
          <w:kern w:val="36"/>
          <w:sz w:val="28"/>
          <w:szCs w:val="28"/>
        </w:rPr>
      </w:pPr>
      <w:r>
        <w:rPr>
          <w:rFonts w:ascii="Roboto" w:hAnsi="Roboto"/>
          <w:kern w:val="36"/>
          <w:sz w:val="28"/>
          <w:szCs w:val="28"/>
        </w:rPr>
        <w:t>------------------------------------------------</w:t>
      </w:r>
    </w:p>
    <w:p w14:paraId="34619F63" w14:textId="77777777" w:rsidR="00CB485D" w:rsidRPr="00CB485D" w:rsidRDefault="00CB485D" w:rsidP="00CB485D">
      <w:pPr>
        <w:shd w:val="clear" w:color="auto" w:fill="FFFFFF"/>
        <w:spacing w:after="105" w:line="240" w:lineRule="auto"/>
        <w:outlineLvl w:val="0"/>
        <w:rPr>
          <w:rFonts w:ascii="Roboto" w:eastAsia="Times New Roman" w:hAnsi="Roboto" w:cs="Times New Roman"/>
          <w:kern w:val="36"/>
          <w:sz w:val="28"/>
          <w:szCs w:val="28"/>
          <w:lang w:val="en-GB" w:eastAsia="en-GB"/>
          <w14:ligatures w14:val="none"/>
        </w:rPr>
      </w:pPr>
    </w:p>
    <w:p w14:paraId="78D3A4E2" w14:textId="77777777" w:rsidR="009C7613" w:rsidRDefault="009C7613"/>
    <w:sectPr w:rsidR="009C7613" w:rsidSect="00DA63D0">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B50"/>
    <w:multiLevelType w:val="multilevel"/>
    <w:tmpl w:val="2A84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9076A"/>
    <w:multiLevelType w:val="multilevel"/>
    <w:tmpl w:val="2A84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E1C3C"/>
    <w:multiLevelType w:val="hybridMultilevel"/>
    <w:tmpl w:val="A0F0B7D8"/>
    <w:lvl w:ilvl="0" w:tplc="A412D1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72739">
    <w:abstractNumId w:val="0"/>
  </w:num>
  <w:num w:numId="2" w16cid:durableId="411271124">
    <w:abstractNumId w:val="1"/>
  </w:num>
  <w:num w:numId="3" w16cid:durableId="100069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5D"/>
    <w:rsid w:val="009C7613"/>
    <w:rsid w:val="00CB485D"/>
    <w:rsid w:val="00DA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7935"/>
  <w15:chartTrackingRefBased/>
  <w15:docId w15:val="{0FE3E675-2926-4A40-9B5B-11E4AFE3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CB48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CB48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B485D"/>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CB485D"/>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unhideWhenUsed/>
    <w:rsid w:val="00CB485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unhideWhenUsed/>
    <w:rsid w:val="00CB485D"/>
    <w:rPr>
      <w:color w:val="0563C1" w:themeColor="hyperlink"/>
      <w:u w:val="single"/>
    </w:rPr>
  </w:style>
  <w:style w:type="character" w:styleId="cpChagiiquyt">
    <w:name w:val="Unresolved Mention"/>
    <w:basedOn w:val="Phngmcinhcuaoanvn"/>
    <w:uiPriority w:val="99"/>
    <w:semiHidden/>
    <w:unhideWhenUsed/>
    <w:rsid w:val="00CB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9901">
      <w:bodyDiv w:val="1"/>
      <w:marLeft w:val="0"/>
      <w:marRight w:val="0"/>
      <w:marTop w:val="0"/>
      <w:marBottom w:val="0"/>
      <w:divBdr>
        <w:top w:val="none" w:sz="0" w:space="0" w:color="auto"/>
        <w:left w:val="none" w:sz="0" w:space="0" w:color="auto"/>
        <w:bottom w:val="none" w:sz="0" w:space="0" w:color="auto"/>
        <w:right w:val="none" w:sz="0" w:space="0" w:color="auto"/>
      </w:divBdr>
    </w:div>
    <w:div w:id="1280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timecyprus.com/wp-content/uploads/2020/05/legalhandbook2020digital2.0.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334</Words>
  <Characters>1904</Characters>
  <Application>Microsoft Office Word</Application>
  <DocSecurity>0</DocSecurity>
  <Lines>15</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2023-11-14T06:52:00Z</dcterms:created>
  <dcterms:modified xsi:type="dcterms:W3CDTF">2023-11-14T07:10:00Z</dcterms:modified>
</cp:coreProperties>
</file>