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FA89" w14:textId="5ECDAC39" w:rsidR="00300FE9" w:rsidRPr="00A25886" w:rsidRDefault="00A25886" w:rsidP="00A2588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Nunito Sans" w:eastAsia="Times New Roman" w:hAnsi="Nunito Sans" w:cs="Times New Roman"/>
          <w:b/>
          <w:bCs/>
          <w:color w:val="4472C4" w:themeColor="accent1"/>
          <w:spacing w:val="-10"/>
          <w:kern w:val="36"/>
          <w:sz w:val="32"/>
          <w:szCs w:val="32"/>
          <w:lang w:val="en-GB" w:eastAsia="en-GB"/>
          <w14:ligatures w14:val="none"/>
        </w:rPr>
      </w:pPr>
      <w:r w:rsidRPr="00A25886">
        <w:rPr>
          <w:rFonts w:ascii="Nunito Sans" w:eastAsia="Times New Roman" w:hAnsi="Nunito Sans" w:cs="Times New Roman"/>
          <w:b/>
          <w:bCs/>
          <w:color w:val="4472C4" w:themeColor="accent1"/>
          <w:spacing w:val="-10"/>
          <w:kern w:val="36"/>
          <w:sz w:val="32"/>
          <w:szCs w:val="32"/>
          <w:lang w:val="en-GB" w:eastAsia="en-GB"/>
          <w14:ligatures w14:val="none"/>
        </w:rPr>
        <w:t xml:space="preserve">BMA: Cách xử lý thuốc và thiết bị y tế hết hạn trên </w:t>
      </w:r>
      <w:r w:rsidRPr="00A25886">
        <w:rPr>
          <w:rFonts w:ascii="Nunito Sans" w:eastAsia="Times New Roman" w:hAnsi="Nunito Sans" w:cs="Times New Roman"/>
          <w:b/>
          <w:bCs/>
          <w:color w:val="4472C4" w:themeColor="accent1"/>
          <w:spacing w:val="-10"/>
          <w:kern w:val="36"/>
          <w:sz w:val="32"/>
          <w:szCs w:val="32"/>
          <w:lang w:val="en-GB" w:eastAsia="en-GB"/>
          <w14:ligatures w14:val="none"/>
        </w:rPr>
        <w:t>tàu biển</w:t>
      </w:r>
    </w:p>
    <w:p w14:paraId="607CC2FC" w14:textId="0180EB02" w:rsidR="00A25886" w:rsidRPr="00871D8E" w:rsidRDefault="00A25886" w:rsidP="00A25886">
      <w:pPr>
        <w:shd w:val="clear" w:color="auto" w:fill="FFFFFF"/>
        <w:spacing w:after="96" w:line="240" w:lineRule="auto"/>
        <w:jc w:val="right"/>
        <w:textAlignment w:val="baseline"/>
        <w:outlineLvl w:val="0"/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</w:pPr>
      <w:r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>Chính quyền</w:t>
      </w:r>
      <w:r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 xml:space="preserve"> Hàng hải Bahamas (BMA) đã ban hành </w:t>
      </w:r>
      <w:r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 xml:space="preserve">một </w:t>
      </w:r>
      <w:r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 xml:space="preserve">Thông báo hàng hải mới nhằm cung cấp hướng dẫn về việc thải bỏ </w:t>
      </w:r>
      <w:r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>dụng cụ</w:t>
      </w:r>
      <w:r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 xml:space="preserve"> y tế </w:t>
      </w:r>
      <w:r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 xml:space="preserve">ở </w:t>
      </w:r>
      <w:r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 xml:space="preserve">trên tàu, nhấn mạnh rằng thuốc hoặc </w:t>
      </w:r>
      <w:r w:rsidR="00871D8E"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>dụng cụ</w:t>
      </w:r>
      <w:r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 xml:space="preserve"> y tế hết hạn </w:t>
      </w:r>
      <w:r w:rsidR="00871D8E"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>phải</w:t>
      </w:r>
      <w:r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 xml:space="preserve"> được thay thế trước ngày hết hạn và trong mọi trường hợp </w:t>
      </w:r>
      <w:r w:rsidR="00871D8E"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 xml:space="preserve">phải thực hiện </w:t>
      </w:r>
      <w:r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>trong vòng ba tháng trước ngày hết hạn</w:t>
      </w:r>
      <w:r w:rsidR="00871D8E"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 xml:space="preserve"> của chúng</w:t>
      </w:r>
      <w:r w:rsidRPr="00871D8E">
        <w:rPr>
          <w:rFonts w:ascii="Nunito Sans" w:eastAsia="Times New Roman" w:hAnsi="Nunito Sans" w:cs="Times New Roman"/>
          <w:spacing w:val="-10"/>
          <w:kern w:val="36"/>
          <w:sz w:val="24"/>
          <w:szCs w:val="24"/>
          <w:lang w:val="en-GB" w:eastAsia="en-GB"/>
          <w14:ligatures w14:val="none"/>
        </w:rPr>
        <w:t>.</w:t>
      </w:r>
    </w:p>
    <w:p w14:paraId="3A0A3B28" w14:textId="480DDEBF" w:rsidR="00300FE9" w:rsidRDefault="00300FE9" w:rsidP="00300FE9">
      <w:pPr>
        <w:shd w:val="clear" w:color="auto" w:fill="FFFFFF"/>
        <w:spacing w:after="96" w:line="240" w:lineRule="auto"/>
        <w:textAlignment w:val="baseline"/>
        <w:outlineLvl w:val="0"/>
        <w:rPr>
          <w:rFonts w:ascii="Nunito Sans" w:eastAsia="Times New Roman" w:hAnsi="Nunito Sans" w:cs="Times New Roman"/>
          <w:b/>
          <w:bCs/>
          <w:color w:val="111111"/>
          <w:spacing w:val="-10"/>
          <w:kern w:val="36"/>
          <w:sz w:val="32"/>
          <w:szCs w:val="32"/>
          <w:lang w:val="en-GB" w:eastAsia="en-GB"/>
          <w14:ligatures w14:val="none"/>
        </w:rPr>
      </w:pPr>
      <w:r>
        <w:rPr>
          <w:noProof/>
        </w:rPr>
        <w:drawing>
          <wp:inline distT="0" distB="0" distL="0" distR="0" wp14:anchorId="46EB43AE" wp14:editId="33854781">
            <wp:extent cx="5943600" cy="2971800"/>
            <wp:effectExtent l="0" t="0" r="0" b="0"/>
            <wp:docPr id="206410363" name="Hình ảnh 1" descr="BMA: How to handle expired medicines and medical equipment on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MA: How to handle expired medicines and medical equipment onboa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3E024" w14:textId="4BA8D345" w:rsidR="00A25886" w:rsidRPr="00871D8E" w:rsidRDefault="00A25886" w:rsidP="00871D8E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Thông báo Hàng hải </w:t>
      </w:r>
      <w:r w:rsidR="00871D8E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này </w:t>
      </w:r>
      <w:r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cung cấp thêm thông tin về vật tư y tế </w:t>
      </w:r>
      <w:r w:rsidR="00871D8E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ở </w:t>
      </w:r>
      <w:r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trên tàu theo </w:t>
      </w:r>
      <w:r w:rsidR="00871D8E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Luật thương thuyền</w:t>
      </w:r>
      <w:r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năm 1986 (đã sửa đổi) và các yêu cầu của Tiêu chuẩn A4.1 (Chăm sóc y tế </w:t>
      </w:r>
      <w:r w:rsidR="00871D8E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ở </w:t>
      </w:r>
      <w:r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trên tàu và trên bờ) của Công ước Lao động Hàng hải, 2006, đã được sửa đổi.</w:t>
      </w:r>
    </w:p>
    <w:p w14:paraId="684AB5B1" w14:textId="374F310B" w:rsidR="00A25886" w:rsidRPr="00871D8E" w:rsidRDefault="00871D8E" w:rsidP="00871D8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Hơn nữa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Thông báo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này 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nhấn mạnh rằng mỗi tàu phải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được cung cấp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một 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số lượng thuốc và thiết bị y tế tối thiểu tương xứng với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các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hành trình thông thường của tàu như được mô tả dưới đây:</w:t>
      </w:r>
    </w:p>
    <w:p w14:paraId="152947CE" w14:textId="26EF9194" w:rsidR="00A25886" w:rsidRPr="00871D8E" w:rsidRDefault="00871D8E" w:rsidP="00871D8E">
      <w:pPr>
        <w:pStyle w:val="oancuaDanhsach"/>
        <w:numPr>
          <w:ilvl w:val="0"/>
          <w:numId w:val="2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Nhóm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Những 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Tàu buôn viễn dương không có bác sĩ trên tàu và không giới hạn độ dài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của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chuyến đi</w:t>
      </w:r>
    </w:p>
    <w:p w14:paraId="6BB47104" w14:textId="6F5D040A" w:rsidR="00A25886" w:rsidRPr="00871D8E" w:rsidRDefault="00871D8E" w:rsidP="00871D8E">
      <w:pPr>
        <w:pStyle w:val="oancuaDanhsach"/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Nhóm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B 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Những t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àu buôn không có bác sĩ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và 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hoạt động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ở các tuyến 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ven biển và cách cảng nhà hoặc cảng ghé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không 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quá 24 giờ, kể cả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các dàn khoan ở ngoài khơi (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MODU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và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những 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tàu </w:t>
      </w:r>
      <w:r w:rsid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luôn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nằm trong phạm vi </w:t>
      </w:r>
      <w:r w:rsid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của 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dịch vụ cứu </w:t>
      </w:r>
      <w:r w:rsid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nạn bằng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trực thăng</w:t>
      </w:r>
    </w:p>
    <w:p w14:paraId="4B9296E7" w14:textId="1A579936" w:rsidR="00A25886" w:rsidRPr="00871D8E" w:rsidRDefault="00942AC7" w:rsidP="00942AC7">
      <w:pPr>
        <w:pStyle w:val="oancuaDanhsach"/>
        <w:numPr>
          <w:ilvl w:val="0"/>
          <w:numId w:val="2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Nhóm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C: Bất kỳ tàu nào khác không thuộc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Nhóm</w:t>
      </w:r>
      <w:r w:rsidR="00A25886" w:rsidRPr="00871D8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 hoặc B và không bị loại trừ khỏi các yêu cầu của Thông báo Hàng hải này.</w:t>
      </w:r>
    </w:p>
    <w:p w14:paraId="4A6848F4" w14:textId="10459076" w:rsidR="00300FE9" w:rsidRPr="00300FE9" w:rsidRDefault="00A25886" w:rsidP="00300FE9">
      <w:pPr>
        <w:shd w:val="clear" w:color="auto" w:fill="FFFFFF"/>
        <w:spacing w:line="360" w:lineRule="atLeast"/>
        <w:jc w:val="center"/>
        <w:textAlignment w:val="baseline"/>
        <w:rPr>
          <w:rFonts w:ascii="Work Sans" w:eastAsia="Times New Roman" w:hAnsi="Work Sans" w:cs="Times New Roman"/>
          <w:color w:val="111111"/>
          <w:kern w:val="0"/>
          <w:sz w:val="24"/>
          <w:szCs w:val="24"/>
          <w:lang w:val="en-GB" w:eastAsia="en-GB"/>
          <w14:ligatures w14:val="none"/>
        </w:rPr>
      </w:pPr>
      <w:r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 xml:space="preserve">Thuyền trưởng </w:t>
      </w:r>
      <w:r w:rsidR="00942AC7"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 xml:space="preserve">phải </w:t>
      </w:r>
      <w:r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 xml:space="preserve">chịu trách nhiệm quản lý </w:t>
      </w:r>
      <w:r w:rsidR="00942AC7"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 xml:space="preserve">các </w:t>
      </w:r>
      <w:r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 xml:space="preserve">vật tư y tế được giữ </w:t>
      </w:r>
      <w:r w:rsidR="00942AC7"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 xml:space="preserve">ở </w:t>
      </w:r>
      <w:r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 xml:space="preserve">trên tàu để đảm bảo rằng thuốc được cấp phát đúng cách và </w:t>
      </w:r>
      <w:r w:rsidR="00942AC7"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 xml:space="preserve">có </w:t>
      </w:r>
      <w:r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>hồ sơ được lưu giữ</w:t>
      </w:r>
      <w:r w:rsidR="00942AC7"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 xml:space="preserve"> đầy đủ</w:t>
      </w:r>
      <w:r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 xml:space="preserve">. Trách nhiệm này có thể được giao cho </w:t>
      </w:r>
      <w:r w:rsidR="00942AC7"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>một thuyền viên</w:t>
      </w:r>
      <w:r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 xml:space="preserve"> được </w:t>
      </w:r>
      <w:r w:rsidR="00942AC7"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>huấn luyện</w:t>
      </w:r>
      <w:r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 xml:space="preserve"> và </w:t>
      </w:r>
      <w:r w:rsidR="00942AC7"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 xml:space="preserve">được cấp giấy </w:t>
      </w:r>
      <w:r w:rsidRPr="00942AC7">
        <w:rPr>
          <w:rFonts w:ascii="Work Sans" w:eastAsia="Times New Roman" w:hAnsi="Work Sans" w:cs="Times New Roman"/>
          <w:color w:val="0070C0"/>
          <w:kern w:val="0"/>
          <w:sz w:val="24"/>
          <w:szCs w:val="24"/>
          <w:lang w:val="en-GB" w:eastAsia="en-GB"/>
          <w14:ligatures w14:val="none"/>
        </w:rPr>
        <w:t>chứng nhận phù hợp</w:t>
      </w:r>
      <w:r w:rsidRPr="00942AC7">
        <w:rPr>
          <w:rFonts w:ascii="Work Sans" w:eastAsia="Times New Roman" w:hAnsi="Work Sans" w:cs="Times New Roman"/>
          <w:color w:val="111111"/>
          <w:kern w:val="0"/>
          <w:sz w:val="24"/>
          <w:szCs w:val="24"/>
          <w:lang w:val="en-GB" w:eastAsia="en-GB"/>
          <w14:ligatures w14:val="none"/>
        </w:rPr>
        <w:t>.</w:t>
      </w:r>
    </w:p>
    <w:p w14:paraId="1DC3964E" w14:textId="2F4A7ED6" w:rsidR="00300FE9" w:rsidRPr="00300FE9" w:rsidRDefault="00A25886" w:rsidP="00300FE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BMA </w:t>
      </w:r>
      <w:r w:rsidR="00942AC7"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lưu ý</w:t>
      </w:r>
      <w:r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rằng các loại thuốc hoặc </w:t>
      </w:r>
      <w:r w:rsidR="00942AC7"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vật tư</w:t>
      </w:r>
      <w:r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y tế đã hết hạn sử dụng </w:t>
      </w:r>
      <w:r w:rsidR="00942AC7"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phải</w:t>
      </w:r>
      <w:r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được cất giữ trong tủ </w:t>
      </w:r>
      <w:r w:rsidR="00942AC7"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có </w:t>
      </w:r>
      <w:r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khóa </w:t>
      </w:r>
      <w:r w:rsidR="00942AC7"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đề </w:t>
      </w:r>
      <w:r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“Thuốc hết hạn” cho đến khi được </w:t>
      </w:r>
      <w:r w:rsidR="00942AC7"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thu</w:t>
      </w:r>
      <w:r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xếp </w:t>
      </w:r>
      <w:r w:rsidR="00942AC7"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để </w:t>
      </w:r>
      <w:r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xử lý </w:t>
      </w:r>
      <w:r w:rsidR="00942AC7"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đúng cách</w:t>
      </w:r>
      <w:r w:rsidRPr="00942A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4D782B6B" w14:textId="6DF121B3" w:rsidR="00A25886" w:rsidRPr="00942AC7" w:rsidRDefault="00A25886" w:rsidP="00A339D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Work Sans" w:hAnsi="Work Sans"/>
          <w:color w:val="833C0B" w:themeColor="accent2" w:themeShade="80"/>
          <w:shd w:val="clear" w:color="auto" w:fill="FCF8E3"/>
        </w:rPr>
      </w:pPr>
      <w:r w:rsidRPr="00942AC7">
        <w:rPr>
          <w:rFonts w:ascii="Work Sans" w:hAnsi="Work Sans"/>
          <w:color w:val="833C0B" w:themeColor="accent2" w:themeShade="80"/>
          <w:shd w:val="clear" w:color="auto" w:fill="FCF8E3"/>
        </w:rPr>
        <w:lastRenderedPageBreak/>
        <w:t xml:space="preserve">Tất cả thuốc, trang thiết bị y tế </w:t>
      </w:r>
      <w:r w:rsidR="00942AC7" w:rsidRPr="00942AC7">
        <w:rPr>
          <w:rFonts w:ascii="Work Sans" w:hAnsi="Work Sans"/>
          <w:color w:val="833C0B" w:themeColor="accent2" w:themeShade="80"/>
          <w:shd w:val="clear" w:color="auto" w:fill="FCF8E3"/>
        </w:rPr>
        <w:t xml:space="preserve">đã </w:t>
      </w:r>
      <w:r w:rsidRPr="00942AC7">
        <w:rPr>
          <w:rFonts w:ascii="Work Sans" w:hAnsi="Work Sans"/>
          <w:color w:val="833C0B" w:themeColor="accent2" w:themeShade="80"/>
          <w:shd w:val="clear" w:color="auto" w:fill="FCF8E3"/>
        </w:rPr>
        <w:t xml:space="preserve">hết hạn sử dụng phải được ghi vào “ Sổ đăng ký thuốc </w:t>
      </w:r>
      <w:r w:rsidR="00942AC7" w:rsidRPr="00942AC7">
        <w:rPr>
          <w:rFonts w:ascii="Work Sans" w:hAnsi="Work Sans"/>
          <w:color w:val="833C0B" w:themeColor="accent2" w:themeShade="80"/>
          <w:shd w:val="clear" w:color="auto" w:fill="FCF8E3"/>
        </w:rPr>
        <w:t xml:space="preserve">đã </w:t>
      </w:r>
      <w:r w:rsidRPr="00942AC7">
        <w:rPr>
          <w:rFonts w:ascii="Work Sans" w:hAnsi="Work Sans"/>
          <w:color w:val="833C0B" w:themeColor="accent2" w:themeShade="80"/>
          <w:shd w:val="clear" w:color="auto" w:fill="FCF8E3"/>
        </w:rPr>
        <w:t xml:space="preserve">hết hạn sử dụng” và được quản lý đúng quy định cho đến khi </w:t>
      </w:r>
      <w:r w:rsidR="00942AC7" w:rsidRPr="00942AC7">
        <w:rPr>
          <w:rFonts w:ascii="Work Sans" w:hAnsi="Work Sans"/>
          <w:color w:val="833C0B" w:themeColor="accent2" w:themeShade="80"/>
          <w:shd w:val="clear" w:color="auto" w:fill="FCF8E3"/>
        </w:rPr>
        <w:t>được xử lý</w:t>
      </w:r>
      <w:r w:rsidRPr="00942AC7">
        <w:rPr>
          <w:rFonts w:ascii="Work Sans" w:hAnsi="Work Sans"/>
          <w:color w:val="833C0B" w:themeColor="accent2" w:themeShade="80"/>
          <w:shd w:val="clear" w:color="auto" w:fill="FCF8E3"/>
        </w:rPr>
        <w:t>. Quy trình xử lý thuốc hết hạn phải được đưa vào Hệ thống quản lý an toàn</w:t>
      </w:r>
      <w:r w:rsidR="00942AC7" w:rsidRPr="00942AC7">
        <w:rPr>
          <w:rFonts w:ascii="Work Sans" w:hAnsi="Work Sans"/>
          <w:color w:val="833C0B" w:themeColor="accent2" w:themeShade="80"/>
          <w:shd w:val="clear" w:color="auto" w:fill="FCF8E3"/>
        </w:rPr>
        <w:t xml:space="preserve"> của tàu.</w:t>
      </w:r>
    </w:p>
    <w:p w14:paraId="45CEA14E" w14:textId="36F237C1" w:rsidR="00A25886" w:rsidRPr="00942AC7" w:rsidRDefault="00A25886" w:rsidP="00A339D7">
      <w:pPr>
        <w:pStyle w:val="ThngthngWeb"/>
        <w:shd w:val="clear" w:color="auto" w:fill="FFFFFF"/>
        <w:spacing w:before="120" w:beforeAutospacing="0" w:after="120" w:afterAutospacing="0"/>
        <w:jc w:val="both"/>
        <w:textAlignment w:val="baseline"/>
      </w:pPr>
      <w:r w:rsidRPr="00942AC7">
        <w:t xml:space="preserve">Hơn nữa, BMA thông báo rằng thuốc và </w:t>
      </w:r>
      <w:r w:rsidR="00942AC7" w:rsidRPr="00942AC7">
        <w:t>dụng cụ</w:t>
      </w:r>
      <w:r w:rsidRPr="00942AC7">
        <w:t xml:space="preserve"> y tế hết hạn </w:t>
      </w:r>
      <w:r w:rsidR="00942AC7" w:rsidRPr="00942AC7">
        <w:t>phải</w:t>
      </w:r>
      <w:r w:rsidRPr="00942AC7">
        <w:t xml:space="preserve"> được trả lại cho nhà cung cấp, </w:t>
      </w:r>
      <w:r w:rsidR="00942AC7">
        <w:t>bác</w:t>
      </w:r>
      <w:r w:rsidRPr="00942AC7">
        <w:t xml:space="preserve"> sĩ y khoa hoặc dược sĩ đã đăng ký, </w:t>
      </w:r>
      <w:r w:rsidR="00942AC7">
        <w:t xml:space="preserve">là </w:t>
      </w:r>
      <w:r w:rsidRPr="00942AC7">
        <w:t xml:space="preserve">những người có thể đảm bảo việc xử lý </w:t>
      </w:r>
      <w:r w:rsidR="00942AC7">
        <w:t xml:space="preserve">chúng được </w:t>
      </w:r>
      <w:r w:rsidRPr="00942AC7">
        <w:t>an toàn,</w:t>
      </w:r>
      <w:r w:rsidR="00942AC7">
        <w:t xml:space="preserve"> có</w:t>
      </w:r>
      <w:r w:rsidRPr="00942AC7">
        <w:t xml:space="preserve"> đạo đức và thân thiện với môi trường. Tàu phải được cung cấp </w:t>
      </w:r>
      <w:r w:rsidR="00942AC7">
        <w:t xml:space="preserve">một </w:t>
      </w:r>
      <w:r w:rsidRPr="00942AC7">
        <w:t xml:space="preserve">biên lai ghi rõ số lượng thuốc và thiết bị, </w:t>
      </w:r>
      <w:r w:rsidR="00942AC7">
        <w:t xml:space="preserve">các </w:t>
      </w:r>
      <w:r w:rsidRPr="00942AC7">
        <w:t xml:space="preserve">thông tin </w:t>
      </w:r>
      <w:r w:rsidR="00942AC7">
        <w:t xml:space="preserve">về </w:t>
      </w:r>
      <w:r w:rsidRPr="00942AC7">
        <w:t xml:space="preserve">đăng ký, </w:t>
      </w:r>
      <w:r w:rsidR="00A339D7">
        <w:t xml:space="preserve">tên </w:t>
      </w:r>
      <w:r w:rsidRPr="00942AC7">
        <w:t xml:space="preserve">công ty, thông tin </w:t>
      </w:r>
      <w:r w:rsidR="00A339D7">
        <w:t xml:space="preserve">để </w:t>
      </w:r>
      <w:r w:rsidRPr="00942AC7">
        <w:t xml:space="preserve">liên hệ của bên nhận thuốc và thiết bị </w:t>
      </w:r>
      <w:r w:rsidR="00A339D7">
        <w:t xml:space="preserve">đã </w:t>
      </w:r>
      <w:r w:rsidRPr="00942AC7">
        <w:t>hết hạn để tiêu hủy.</w:t>
      </w:r>
    </w:p>
    <w:p w14:paraId="230F00E2" w14:textId="6F7B25E6" w:rsidR="00A25886" w:rsidRPr="00A339D7" w:rsidRDefault="00A25886" w:rsidP="00A339D7">
      <w:pPr>
        <w:pStyle w:val="ThngthngWeb"/>
        <w:shd w:val="clear" w:color="auto" w:fill="FFFFFF"/>
        <w:spacing w:before="120" w:beforeAutospacing="0" w:after="120" w:afterAutospacing="0"/>
        <w:jc w:val="both"/>
        <w:textAlignment w:val="baseline"/>
      </w:pPr>
      <w:r w:rsidRPr="00A339D7">
        <w:t xml:space="preserve">Bất kể những điều trên, BMA </w:t>
      </w:r>
      <w:r w:rsidR="00A339D7">
        <w:t>thừa nhận</w:t>
      </w:r>
      <w:r w:rsidRPr="00A339D7">
        <w:t xml:space="preserve"> rằng không phải lúc nào cũng có thể trả lại thuốc hết hạn cho nhà cung cấp hoặc dược sĩ</w:t>
      </w:r>
      <w:r w:rsidR="00A339D7">
        <w:t xml:space="preserve"> được</w:t>
      </w:r>
      <w:r w:rsidRPr="00A339D7">
        <w:t xml:space="preserve">. Trong những trường hợp như vậy, thuốc hết hạn sử dụng có thể được </w:t>
      </w:r>
      <w:r w:rsidR="00A339D7">
        <w:t>giao</w:t>
      </w:r>
      <w:r w:rsidRPr="00A339D7">
        <w:t xml:space="preserve"> cho </w:t>
      </w:r>
      <w:r w:rsidR="00A339D7">
        <w:t xml:space="preserve">một </w:t>
      </w:r>
      <w:r w:rsidRPr="00A339D7">
        <w:t xml:space="preserve">công ty xử lý chất thải nguy hại được cơ quan có thẩm quyền </w:t>
      </w:r>
      <w:r w:rsidR="00A339D7">
        <w:t xml:space="preserve">của </w:t>
      </w:r>
      <w:r w:rsidRPr="00A339D7">
        <w:t xml:space="preserve">địa phương ủy quyền hoặc </w:t>
      </w:r>
      <w:r w:rsidR="00A339D7">
        <w:t>cho</w:t>
      </w:r>
      <w:r w:rsidRPr="00A339D7">
        <w:t xml:space="preserve"> phép thực hiện hoạt động đó.</w:t>
      </w:r>
    </w:p>
    <w:p w14:paraId="7FDB4650" w14:textId="2A8F74FE" w:rsidR="00A25886" w:rsidRPr="00A339D7" w:rsidRDefault="00A25886" w:rsidP="00A339D7">
      <w:pPr>
        <w:pStyle w:val="ThngthngWeb"/>
        <w:shd w:val="clear" w:color="auto" w:fill="FFFFFF"/>
        <w:spacing w:before="0" w:beforeAutospacing="0" w:after="120" w:afterAutospacing="0"/>
        <w:jc w:val="both"/>
        <w:textAlignment w:val="baseline"/>
      </w:pPr>
      <w:r w:rsidRPr="00A339D7">
        <w:t xml:space="preserve">Tàu phải được cung cấp biên lai ghi rõ số lượng thuốc và thiết bị, thông tin đăng ký, </w:t>
      </w:r>
      <w:r w:rsidR="00A339D7">
        <w:t xml:space="preserve">tên </w:t>
      </w:r>
      <w:r w:rsidRPr="00A339D7">
        <w:t>công ty, thông tin liên hệ của bên nhận thuốc và thiết bị hết hạn để tiêu hủy.</w:t>
      </w:r>
    </w:p>
    <w:p w14:paraId="621270C0" w14:textId="27FECA80" w:rsidR="00A25886" w:rsidRDefault="00A25886" w:rsidP="00A339D7">
      <w:pPr>
        <w:shd w:val="clear" w:color="auto" w:fill="FFFFFF"/>
        <w:spacing w:after="96" w:line="240" w:lineRule="auto"/>
        <w:jc w:val="both"/>
        <w:textAlignment w:val="baseline"/>
        <w:outlineLvl w:val="0"/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</w:pPr>
      <w:r w:rsidRP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Thuốc và vật tư y tế không </w:t>
      </w:r>
      <w:r w:rsid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>phải</w:t>
      </w:r>
      <w:r w:rsidRP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 kiểm soát </w:t>
      </w:r>
      <w:r w:rsid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đã </w:t>
      </w:r>
      <w:r w:rsidR="00A339D7" w:rsidRP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hết hạn </w:t>
      </w:r>
      <w:r w:rsidRP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có thể được </w:t>
      </w:r>
      <w:r w:rsid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đốt </w:t>
      </w:r>
      <w:r w:rsidRP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tiêu hủy </w:t>
      </w:r>
      <w:r w:rsid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ở </w:t>
      </w:r>
      <w:r w:rsidRP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>trên biển dưới dạng chất thải sinh hoạt (Loại C theo Phụ lục V của MARPOL)</w:t>
      </w:r>
      <w:r w:rsid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 và được xem xét theo </w:t>
      </w:r>
      <w:r w:rsidRP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từng trường hợp. Thuốc không </w:t>
      </w:r>
      <w:r w:rsid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>phải</w:t>
      </w:r>
      <w:r w:rsidRP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 kiểm soát sẽ được đốt ở nhiệt độ thích hợp dưới sự giám sát của </w:t>
      </w:r>
      <w:r w:rsid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>một sỹ quan máy</w:t>
      </w:r>
      <w:r w:rsidRP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. </w:t>
      </w:r>
      <w:r w:rsid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>Nhật ký</w:t>
      </w:r>
      <w:r w:rsidRP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 về việc đốt thuốc</w:t>
      </w:r>
      <w:r w:rsid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 hoặc</w:t>
      </w:r>
      <w:r w:rsidRPr="00A339D7">
        <w:rPr>
          <w:rFonts w:ascii="Work Sans" w:hAnsi="Work Sans"/>
          <w:color w:val="222A35" w:themeColor="text2" w:themeShade="80"/>
          <w:sz w:val="21"/>
          <w:szCs w:val="21"/>
          <w:shd w:val="clear" w:color="auto" w:fill="D9EDF7"/>
        </w:rPr>
        <w:t xml:space="preserve"> trang thiết bị y tế đó phải được lưu giữ trong sổ đăng ký thuốc.</w:t>
      </w:r>
    </w:p>
    <w:p w14:paraId="743B38B4" w14:textId="1E0ED7D8" w:rsidR="00F56E60" w:rsidRDefault="00F56E60" w:rsidP="00BE5E37">
      <w:pPr>
        <w:jc w:val="both"/>
      </w:pPr>
      <w:r>
        <w:t>Nhấn vào các đường link dưới đây để</w:t>
      </w:r>
      <w:r w:rsidR="00414639">
        <w:t xml:space="preserve"> xem quy định về tiêu hủy thuốc và vật tư y tế trên tàu </w:t>
      </w:r>
      <w:r>
        <w:t>của các quốc gia khác:</w:t>
      </w:r>
    </w:p>
    <w:p w14:paraId="3A0F5336" w14:textId="72082C04" w:rsidR="00414639" w:rsidRDefault="00414639" w:rsidP="00BE5E37">
      <w:pPr>
        <w:jc w:val="both"/>
      </w:pPr>
      <w:r w:rsidRPr="00F56E60">
        <w:rPr>
          <w:b/>
          <w:bCs/>
        </w:rPr>
        <w:t>của TUVALU</w:t>
      </w:r>
      <w:r>
        <w:t xml:space="preserve">: </w:t>
      </w:r>
      <w:hyperlink r:id="rId6" w:history="1">
        <w:r w:rsidR="00BE5E37" w:rsidRPr="00F76033">
          <w:rPr>
            <w:rStyle w:val="Siuktni"/>
          </w:rPr>
          <w:t>https://www.classnk.or.jp/hp/pdf/activities/statutory/ism/flag/tuvalu/MC2007-2-12-2.pdf</w:t>
        </w:r>
      </w:hyperlink>
    </w:p>
    <w:p w14:paraId="2B374DE9" w14:textId="3E8D80D3" w:rsidR="00F56E60" w:rsidRDefault="00F56E60" w:rsidP="00BE5E37">
      <w:pPr>
        <w:jc w:val="both"/>
      </w:pPr>
      <w:r w:rsidRPr="00F56E60">
        <w:rPr>
          <w:b/>
          <w:bCs/>
        </w:rPr>
        <w:t>Của Marsall Islands</w:t>
      </w:r>
      <w:r>
        <w:t xml:space="preserve">: </w:t>
      </w:r>
      <w:hyperlink r:id="rId7" w:history="1">
        <w:r w:rsidRPr="00F76033">
          <w:rPr>
            <w:rStyle w:val="Siuktni"/>
          </w:rPr>
          <w:t>https://www.ilo.org/dyn/normlex/en/f?p=1000:53:::NO:53:P53_FILE_ID:3130433</w:t>
        </w:r>
      </w:hyperlink>
    </w:p>
    <w:p w14:paraId="7F0B5D53" w14:textId="559403BB" w:rsidR="00F56E60" w:rsidRPr="00F56E60" w:rsidRDefault="00F56E60" w:rsidP="00BE5E37">
      <w:pPr>
        <w:jc w:val="both"/>
        <w:rPr>
          <w:b/>
          <w:bCs/>
        </w:rPr>
      </w:pPr>
      <w:r w:rsidRPr="00F56E60">
        <w:rPr>
          <w:b/>
          <w:bCs/>
        </w:rPr>
        <w:t xml:space="preserve">Của Singapores: </w:t>
      </w:r>
    </w:p>
    <w:p w14:paraId="7D47E177" w14:textId="07A5CF38" w:rsidR="00F56E60" w:rsidRDefault="00F56E60" w:rsidP="00BE5E37">
      <w:pPr>
        <w:jc w:val="both"/>
      </w:pPr>
      <w:hyperlink r:id="rId8" w:history="1">
        <w:r w:rsidRPr="00F76033">
          <w:rPr>
            <w:rStyle w:val="Siuktni"/>
          </w:rPr>
          <w:t>https://sso.agc.gov.sg/SL/MSMLCA2014-S181-2014?DocDate=20140311&amp;ValidDate=20141119&amp;TransactionDate=20141119&amp;ProvIds=Sc5-</w:t>
        </w:r>
      </w:hyperlink>
      <w:r w:rsidRPr="00F56E60">
        <w:t>.</w:t>
      </w:r>
    </w:p>
    <w:p w14:paraId="0D61768B" w14:textId="2A5FF80C" w:rsidR="00F56E60" w:rsidRDefault="00F56E60" w:rsidP="00BE5E37">
      <w:pPr>
        <w:jc w:val="both"/>
      </w:pPr>
      <w:r w:rsidRPr="00F56E60">
        <w:rPr>
          <w:b/>
          <w:bCs/>
        </w:rPr>
        <w:t>Của Liberia</w:t>
      </w:r>
      <w:r>
        <w:t xml:space="preserve">: </w:t>
      </w:r>
      <w:hyperlink r:id="rId9" w:history="1">
        <w:r w:rsidRPr="00F76033">
          <w:rPr>
            <w:rStyle w:val="Siuktni"/>
          </w:rPr>
          <w:t>https://www.liscr.com/sites/default/files/MLC-005_Rev.2_17.pdf</w:t>
        </w:r>
      </w:hyperlink>
    </w:p>
    <w:p w14:paraId="0A2D9051" w14:textId="1164BD9F" w:rsidR="00F56E60" w:rsidRDefault="00F56E60" w:rsidP="00BE5E37">
      <w:pPr>
        <w:jc w:val="both"/>
      </w:pPr>
      <w:r w:rsidRPr="00F56E60">
        <w:rPr>
          <w:b/>
          <w:bCs/>
        </w:rPr>
        <w:t>Của Panama</w:t>
      </w:r>
      <w:r>
        <w:t xml:space="preserve">: </w:t>
      </w:r>
      <w:hyperlink r:id="rId10" w:history="1">
        <w:r w:rsidRPr="00F76033">
          <w:rPr>
            <w:rStyle w:val="Siuktni"/>
          </w:rPr>
          <w:t>https://panamashipregistry.com/wp-content/uploads/2021/03/MMC-339-MEDICINE-CHEST-AND-MEDICAL-EQUIPMENT.MARCH_.2021-rev.RB_.pdf</w:t>
        </w:r>
      </w:hyperlink>
    </w:p>
    <w:p w14:paraId="26E64AB3" w14:textId="57A6EE43" w:rsidR="009C7613" w:rsidRDefault="00A339D7" w:rsidP="00A339D7">
      <w:pPr>
        <w:jc w:val="center"/>
      </w:pPr>
      <w:r>
        <w:t>---------------------------------------------------------------</w:t>
      </w:r>
    </w:p>
    <w:sectPr w:rsidR="009C7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70D75"/>
    <w:multiLevelType w:val="multilevel"/>
    <w:tmpl w:val="0F8E3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769EA"/>
    <w:multiLevelType w:val="multilevel"/>
    <w:tmpl w:val="0F8E3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597591">
    <w:abstractNumId w:val="1"/>
  </w:num>
  <w:num w:numId="2" w16cid:durableId="16162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E9"/>
    <w:rsid w:val="00300FE9"/>
    <w:rsid w:val="00414639"/>
    <w:rsid w:val="00871D8E"/>
    <w:rsid w:val="00942AC7"/>
    <w:rsid w:val="009C7613"/>
    <w:rsid w:val="00A25886"/>
    <w:rsid w:val="00A339D7"/>
    <w:rsid w:val="00BE5E37"/>
    <w:rsid w:val="00F5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EAF9"/>
  <w15:chartTrackingRefBased/>
  <w15:docId w15:val="{5C7FCB60-0A32-49B4-BB06-C14B6494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300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00FE9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30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oancuaDanhsach">
    <w:name w:val="List Paragraph"/>
    <w:basedOn w:val="Binhthng"/>
    <w:uiPriority w:val="34"/>
    <w:qFormat/>
    <w:rsid w:val="00871D8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414639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414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05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agc.gov.sg/SL/MSMLCA2014-S181-2014?DocDate=20140311&amp;ValidDate=20141119&amp;TransactionDate=20141119&amp;ProvIds=Sc5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lo.org/dyn/normlex/en/f?p=1000:53:::NO:53:P53_FILE_ID:31304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assnk.or.jp/hp/pdf/activities/statutory/ism/flag/tuvalu/MC2007-2-12-2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anamashipregistry.com/wp-content/uploads/2021/03/MMC-339-MEDICINE-CHEST-AND-MEDICAL-EQUIPMENT.MARCH_.2021-rev.RB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scr.com/sites/default/files/MLC-005_Rev.2_17.pdf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3</cp:revision>
  <dcterms:created xsi:type="dcterms:W3CDTF">2023-11-01T03:10:00Z</dcterms:created>
  <dcterms:modified xsi:type="dcterms:W3CDTF">2023-11-01T04:10:00Z</dcterms:modified>
</cp:coreProperties>
</file>