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94BF" w14:textId="5FEC27CA" w:rsidR="005B0B5E" w:rsidRDefault="005B0B5E" w:rsidP="005B0B5E">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sidRPr="005B0B5E">
        <w:rPr>
          <w:rFonts w:ascii="Nunito Sans" w:eastAsia="Times New Roman" w:hAnsi="Nunito Sans" w:cs="Times New Roman"/>
          <w:b/>
          <w:bCs/>
          <w:color w:val="111111"/>
          <w:spacing w:val="-10"/>
          <w:kern w:val="36"/>
          <w:sz w:val="32"/>
          <w:szCs w:val="32"/>
          <w:lang w:val="en-GB" w:eastAsia="en-GB"/>
          <w14:ligatures w14:val="none"/>
        </w:rPr>
        <w:t xml:space="preserve">Sửa đổi của IMO đối với </w:t>
      </w:r>
      <w:r w:rsidRPr="005B0B5E">
        <w:rPr>
          <w:rFonts w:ascii="Nunito Sans" w:eastAsia="Times New Roman" w:hAnsi="Nunito Sans" w:cs="Times New Roman"/>
          <w:b/>
          <w:bCs/>
          <w:color w:val="111111"/>
          <w:spacing w:val="-10"/>
          <w:kern w:val="36"/>
          <w:sz w:val="32"/>
          <w:szCs w:val="32"/>
          <w:lang w:val="en-GB" w:eastAsia="en-GB"/>
          <w14:ligatures w14:val="none"/>
        </w:rPr>
        <w:t>cơ cấu</w:t>
      </w:r>
      <w:r w:rsidRPr="005B0B5E">
        <w:rPr>
          <w:rFonts w:ascii="Nunito Sans" w:eastAsia="Times New Roman" w:hAnsi="Nunito Sans" w:cs="Times New Roman"/>
          <w:b/>
          <w:bCs/>
          <w:color w:val="111111"/>
          <w:spacing w:val="-10"/>
          <w:kern w:val="36"/>
          <w:sz w:val="32"/>
          <w:szCs w:val="32"/>
          <w:lang w:val="en-GB" w:eastAsia="en-GB"/>
          <w14:ligatures w14:val="none"/>
        </w:rPr>
        <w:t xml:space="preserve"> hạ xuồng cứu </w:t>
      </w:r>
      <w:r w:rsidRPr="005B0B5E">
        <w:rPr>
          <w:rFonts w:ascii="Nunito Sans" w:eastAsia="Times New Roman" w:hAnsi="Nunito Sans" w:cs="Times New Roman"/>
          <w:b/>
          <w:bCs/>
          <w:color w:val="111111"/>
          <w:spacing w:val="-10"/>
          <w:kern w:val="36"/>
          <w:sz w:val="32"/>
          <w:szCs w:val="32"/>
          <w:lang w:val="en-GB" w:eastAsia="en-GB"/>
          <w14:ligatures w14:val="none"/>
        </w:rPr>
        <w:t>nạn</w:t>
      </w:r>
      <w:r w:rsidRPr="005B0B5E">
        <w:rPr>
          <w:rFonts w:ascii="Nunito Sans" w:eastAsia="Times New Roman" w:hAnsi="Nunito Sans" w:cs="Times New Roman"/>
          <w:b/>
          <w:bCs/>
          <w:color w:val="111111"/>
          <w:spacing w:val="-10"/>
          <w:kern w:val="36"/>
          <w:sz w:val="32"/>
          <w:szCs w:val="32"/>
          <w:lang w:val="en-GB" w:eastAsia="en-GB"/>
          <w14:ligatures w14:val="none"/>
        </w:rPr>
        <w:t xml:space="preserve"> </w:t>
      </w:r>
    </w:p>
    <w:p w14:paraId="583792BC" w14:textId="51A70D6B" w:rsidR="002B4D23" w:rsidRDefault="005B0B5E" w:rsidP="005B0B5E">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sidRPr="005B0B5E">
        <w:rPr>
          <w:rFonts w:ascii="Nunito Sans" w:eastAsia="Times New Roman" w:hAnsi="Nunito Sans" w:cs="Times New Roman"/>
          <w:b/>
          <w:bCs/>
          <w:color w:val="111111"/>
          <w:spacing w:val="-10"/>
          <w:kern w:val="36"/>
          <w:sz w:val="32"/>
          <w:szCs w:val="32"/>
          <w:lang w:val="en-GB" w:eastAsia="en-GB"/>
          <w14:ligatures w14:val="none"/>
        </w:rPr>
        <w:t>có hiệu lực từ năm 2024</w:t>
      </w:r>
    </w:p>
    <w:p w14:paraId="12B0B602" w14:textId="77777777" w:rsidR="005B0B5E" w:rsidRPr="005B0B5E" w:rsidRDefault="005B0B5E" w:rsidP="005B0B5E">
      <w:pPr>
        <w:jc w:val="right"/>
        <w:rPr>
          <w:rFonts w:ascii="Work Sans" w:hAnsi="Work Sans"/>
          <w:i/>
          <w:iCs/>
          <w:color w:val="212121"/>
          <w:spacing w:val="-4"/>
          <w:sz w:val="26"/>
          <w:szCs w:val="26"/>
          <w:shd w:val="clear" w:color="auto" w:fill="FFFFFF"/>
        </w:rPr>
      </w:pPr>
      <w:r w:rsidRPr="005B0B5E">
        <w:rPr>
          <w:rFonts w:ascii="Work Sans" w:hAnsi="Work Sans"/>
          <w:i/>
          <w:iCs/>
          <w:color w:val="212121"/>
          <w:spacing w:val="-4"/>
          <w:sz w:val="26"/>
          <w:szCs w:val="26"/>
          <w:shd w:val="clear" w:color="auto" w:fill="FFFFFF"/>
        </w:rPr>
        <w:t>Theo Loyd’s Register, Tổ chức Hàng hải Quốc tế (IMO) đã thông qua các sửa đổi với Bộ luật Quốc tế về trang Thiết bị Cứu sinh (LSA code) về các yêu cầu đối với xuồng cứu sinh, thiết bị hạ và đưa người lên xuồng, có hiệu lực từ ngày 1 tháng 1 năm 2024.</w:t>
      </w:r>
    </w:p>
    <w:p w14:paraId="3E272BDA" w14:textId="4E4035BE" w:rsidR="00F84D47" w:rsidRDefault="00F84D47" w:rsidP="002432D8">
      <w:pPr>
        <w:pStyle w:val="ThngthngWeb"/>
        <w:shd w:val="clear" w:color="auto" w:fill="FFFFFF"/>
        <w:spacing w:before="0" w:beforeAutospacing="0" w:after="300" w:afterAutospacing="0"/>
        <w:jc w:val="center"/>
        <w:textAlignment w:val="baseline"/>
        <w:rPr>
          <w:rFonts w:ascii="Work Sans" w:hAnsi="Work Sans"/>
          <w:color w:val="333333"/>
        </w:rPr>
      </w:pPr>
      <w:r>
        <w:rPr>
          <w:noProof/>
        </w:rPr>
        <w:drawing>
          <wp:inline distT="0" distB="0" distL="0" distR="0" wp14:anchorId="7D9382F3" wp14:editId="718B192A">
            <wp:extent cx="4991100" cy="3744925"/>
            <wp:effectExtent l="0" t="0" r="0" b="8255"/>
            <wp:docPr id="244087462" name="Hình ảnh 4" descr="Welcome to Deena M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come to Deena Mar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6292" cy="3748820"/>
                    </a:xfrm>
                    <a:prstGeom prst="rect">
                      <a:avLst/>
                    </a:prstGeom>
                    <a:noFill/>
                    <a:ln>
                      <a:noFill/>
                    </a:ln>
                  </pic:spPr>
                </pic:pic>
              </a:graphicData>
            </a:graphic>
          </wp:inline>
        </w:drawing>
      </w:r>
    </w:p>
    <w:p w14:paraId="63F6789E" w14:textId="3A7044F3" w:rsidR="005B0B5E" w:rsidRPr="005B0B5E" w:rsidRDefault="002B4D23" w:rsidP="00AF0254">
      <w:pPr>
        <w:pStyle w:val="ThngthngWeb"/>
        <w:shd w:val="clear" w:color="auto" w:fill="FFFFFF"/>
        <w:spacing w:before="0" w:beforeAutospacing="0" w:after="300" w:afterAutospacing="0"/>
        <w:jc w:val="both"/>
        <w:textAlignment w:val="baseline"/>
        <w:rPr>
          <w:rFonts w:ascii="Work Sans" w:hAnsi="Work Sans"/>
          <w:color w:val="000000" w:themeColor="text1"/>
        </w:rPr>
      </w:pPr>
      <w:r>
        <w:rPr>
          <w:rFonts w:ascii="Work Sans" w:hAnsi="Work Sans"/>
          <w:color w:val="333333"/>
        </w:rPr>
        <w:t xml:space="preserve"> </w:t>
      </w:r>
      <w:r w:rsidR="005B0B5E" w:rsidRPr="005B0B5E">
        <w:rPr>
          <w:rFonts w:ascii="Work Sans" w:hAnsi="Work Sans"/>
          <w:color w:val="000000" w:themeColor="text1"/>
        </w:rPr>
        <w:t>Tin này liên quan đến tất cả các chủ tàu, người khai thác tàu, người quản lý tàu, thuyền trưởng, n</w:t>
      </w:r>
      <w:r w:rsidR="005B0B5E">
        <w:rPr>
          <w:rFonts w:ascii="Work Sans" w:hAnsi="Work Sans"/>
          <w:color w:val="000000" w:themeColor="text1"/>
        </w:rPr>
        <w:t>gười</w:t>
      </w:r>
      <w:r w:rsidR="005B0B5E" w:rsidRPr="005B0B5E">
        <w:rPr>
          <w:rFonts w:ascii="Work Sans" w:hAnsi="Work Sans"/>
          <w:color w:val="000000" w:themeColor="text1"/>
        </w:rPr>
        <w:t xml:space="preserve"> thiết kế, công ty đóng tàu và nhà sản xuất</w:t>
      </w:r>
      <w:r w:rsidR="005B0B5E">
        <w:rPr>
          <w:rFonts w:ascii="Work Sans" w:hAnsi="Work Sans"/>
          <w:color w:val="000000" w:themeColor="text1"/>
        </w:rPr>
        <w:t xml:space="preserve"> thiết bị</w:t>
      </w:r>
      <w:r w:rsidR="005B0B5E" w:rsidRPr="005B0B5E">
        <w:rPr>
          <w:rFonts w:ascii="Work Sans" w:hAnsi="Work Sans"/>
          <w:color w:val="000000" w:themeColor="text1"/>
        </w:rPr>
        <w:t>.</w:t>
      </w:r>
    </w:p>
    <w:p w14:paraId="017E344C" w14:textId="5CBAA058" w:rsidR="005B0B5E" w:rsidRPr="005B0B5E" w:rsidRDefault="00AF0254" w:rsidP="005B0B5E">
      <w:pPr>
        <w:pStyle w:val="ThngthngWeb"/>
        <w:shd w:val="clear" w:color="auto" w:fill="FFFFFF"/>
        <w:spacing w:before="0" w:beforeAutospacing="0" w:after="0" w:afterAutospacing="0"/>
        <w:jc w:val="both"/>
        <w:textAlignment w:val="baseline"/>
        <w:rPr>
          <w:rFonts w:ascii="Work Sans" w:hAnsi="Work Sans"/>
          <w:color w:val="000000" w:themeColor="text1"/>
        </w:rPr>
      </w:pPr>
      <w:r>
        <w:rPr>
          <w:rFonts w:ascii="Work Sans" w:hAnsi="Work Sans"/>
          <w:color w:val="000000" w:themeColor="text1"/>
        </w:rPr>
        <w:t>Sửa</w:t>
      </w:r>
      <w:r w:rsidR="005B0B5E">
        <w:rPr>
          <w:rFonts w:ascii="Work Sans" w:hAnsi="Work Sans"/>
          <w:color w:val="000000" w:themeColor="text1"/>
        </w:rPr>
        <w:t xml:space="preserve"> đổi này đưa ra</w:t>
      </w:r>
      <w:r w:rsidR="005B0B5E" w:rsidRPr="005B0B5E">
        <w:rPr>
          <w:rFonts w:ascii="Work Sans" w:hAnsi="Work Sans"/>
          <w:color w:val="000000" w:themeColor="text1"/>
        </w:rPr>
        <w:t xml:space="preserve"> </w:t>
      </w:r>
      <w:r>
        <w:rPr>
          <w:rFonts w:ascii="Work Sans" w:hAnsi="Work Sans"/>
          <w:color w:val="000000" w:themeColor="text1"/>
        </w:rPr>
        <w:t xml:space="preserve">khả năng </w:t>
      </w:r>
      <w:r w:rsidR="005B0B5E" w:rsidRPr="005B0B5E">
        <w:rPr>
          <w:rFonts w:ascii="Work Sans" w:hAnsi="Work Sans"/>
          <w:color w:val="000000" w:themeColor="text1"/>
        </w:rPr>
        <w:t xml:space="preserve">miễn trừ </w:t>
      </w:r>
      <w:r w:rsidR="005B0B5E">
        <w:rPr>
          <w:rFonts w:ascii="Work Sans" w:hAnsi="Work Sans"/>
          <w:color w:val="000000" w:themeColor="text1"/>
        </w:rPr>
        <w:t xml:space="preserve">đối với </w:t>
      </w:r>
      <w:r w:rsidR="005B0B5E" w:rsidRPr="005B0B5E">
        <w:rPr>
          <w:rFonts w:ascii="Work Sans" w:hAnsi="Work Sans"/>
          <w:color w:val="000000" w:themeColor="text1"/>
        </w:rPr>
        <w:t xml:space="preserve">yêu cầu </w:t>
      </w:r>
      <w:r w:rsidR="005B0B5E">
        <w:rPr>
          <w:rFonts w:ascii="Work Sans" w:hAnsi="Work Sans"/>
          <w:color w:val="000000" w:themeColor="text1"/>
        </w:rPr>
        <w:t>phải có</w:t>
      </w:r>
      <w:r w:rsidR="005B0B5E" w:rsidRPr="005B0B5E">
        <w:rPr>
          <w:rFonts w:ascii="Work Sans" w:hAnsi="Work Sans"/>
          <w:color w:val="000000" w:themeColor="text1"/>
        </w:rPr>
        <w:t xml:space="preserve"> năng lượng cơ học dự trữ </w:t>
      </w:r>
      <w:r w:rsidR="005B0B5E">
        <w:rPr>
          <w:rFonts w:ascii="Work Sans" w:hAnsi="Work Sans"/>
          <w:color w:val="000000" w:themeColor="text1"/>
        </w:rPr>
        <w:t>dùng</w:t>
      </w:r>
      <w:r w:rsidR="005B0B5E" w:rsidRPr="005B0B5E">
        <w:rPr>
          <w:rFonts w:ascii="Work Sans" w:hAnsi="Work Sans"/>
          <w:color w:val="000000" w:themeColor="text1"/>
        </w:rPr>
        <w:t xml:space="preserve"> để xoay </w:t>
      </w:r>
      <w:r w:rsidR="00F84D47">
        <w:rPr>
          <w:rFonts w:ascii="Work Sans" w:hAnsi="Work Sans"/>
          <w:color w:val="000000" w:themeColor="text1"/>
        </w:rPr>
        <w:t>xuồng</w:t>
      </w:r>
      <w:r w:rsidR="005B0B5E" w:rsidRPr="005B0B5E">
        <w:rPr>
          <w:rFonts w:ascii="Work Sans" w:hAnsi="Work Sans"/>
          <w:color w:val="000000" w:themeColor="text1"/>
        </w:rPr>
        <w:t xml:space="preserve"> cứu </w:t>
      </w:r>
      <w:r w:rsidR="00F84D47">
        <w:rPr>
          <w:rFonts w:ascii="Work Sans" w:hAnsi="Work Sans"/>
          <w:color w:val="000000" w:themeColor="text1"/>
        </w:rPr>
        <w:t>nạn ra</w:t>
      </w:r>
      <w:r w:rsidR="005B0B5E" w:rsidRPr="005B0B5E">
        <w:rPr>
          <w:rFonts w:ascii="Work Sans" w:hAnsi="Work Sans"/>
          <w:color w:val="000000" w:themeColor="text1"/>
        </w:rPr>
        <w:t xml:space="preserve"> phía ngoài </w:t>
      </w:r>
      <w:r w:rsidR="00F84D47">
        <w:rPr>
          <w:rFonts w:ascii="Work Sans" w:hAnsi="Work Sans"/>
          <w:color w:val="000000" w:themeColor="text1"/>
        </w:rPr>
        <w:t xml:space="preserve">mạn </w:t>
      </w:r>
      <w:r w:rsidR="005B0B5E" w:rsidRPr="005B0B5E">
        <w:rPr>
          <w:rFonts w:ascii="Work Sans" w:hAnsi="Work Sans"/>
          <w:color w:val="000000" w:themeColor="text1"/>
        </w:rPr>
        <w:t xml:space="preserve">(thường </w:t>
      </w:r>
      <w:r w:rsidR="00F84D47">
        <w:rPr>
          <w:rFonts w:ascii="Work Sans" w:hAnsi="Work Sans"/>
          <w:color w:val="000000" w:themeColor="text1"/>
        </w:rPr>
        <w:t>là một</w:t>
      </w:r>
      <w:r w:rsidR="005B0B5E" w:rsidRPr="005B0B5E">
        <w:rPr>
          <w:rFonts w:ascii="Work Sans" w:hAnsi="Work Sans"/>
          <w:color w:val="000000" w:themeColor="text1"/>
        </w:rPr>
        <w:t xml:space="preserve"> bộ tích </w:t>
      </w:r>
      <w:r w:rsidR="00F84D47">
        <w:rPr>
          <w:rFonts w:ascii="Work Sans" w:hAnsi="Work Sans"/>
          <w:color w:val="000000" w:themeColor="text1"/>
        </w:rPr>
        <w:t>năng lượng</w:t>
      </w:r>
      <w:r w:rsidR="005B0B5E" w:rsidRPr="005B0B5E">
        <w:rPr>
          <w:rFonts w:ascii="Work Sans" w:hAnsi="Work Sans"/>
          <w:color w:val="000000" w:themeColor="text1"/>
        </w:rPr>
        <w:t xml:space="preserve"> thủy lực được lắp vào cần </w:t>
      </w:r>
      <w:r w:rsidR="00F84D47">
        <w:rPr>
          <w:rFonts w:ascii="Work Sans" w:hAnsi="Work Sans"/>
          <w:color w:val="000000" w:themeColor="text1"/>
        </w:rPr>
        <w:t>hạ</w:t>
      </w:r>
      <w:r w:rsidR="005B0B5E" w:rsidRPr="005B0B5E">
        <w:rPr>
          <w:rFonts w:ascii="Work Sans" w:hAnsi="Work Sans"/>
          <w:color w:val="000000" w:themeColor="text1"/>
        </w:rPr>
        <w:t xml:space="preserve"> </w:t>
      </w:r>
      <w:r w:rsidR="00F84D47">
        <w:rPr>
          <w:rFonts w:ascii="Work Sans" w:hAnsi="Work Sans"/>
          <w:color w:val="000000" w:themeColor="text1"/>
        </w:rPr>
        <w:t>xuống đơn</w:t>
      </w:r>
      <w:r>
        <w:rPr>
          <w:rFonts w:ascii="Work Sans" w:hAnsi="Work Sans"/>
          <w:color w:val="000000" w:themeColor="text1"/>
        </w:rPr>
        <w:t xml:space="preserve"> một móc treo</w:t>
      </w:r>
      <w:r w:rsidR="005B0B5E" w:rsidRPr="005B0B5E">
        <w:rPr>
          <w:rFonts w:ascii="Work Sans" w:hAnsi="Work Sans"/>
          <w:color w:val="000000" w:themeColor="text1"/>
        </w:rPr>
        <w:t>).</w:t>
      </w:r>
    </w:p>
    <w:p w14:paraId="61A8F47D" w14:textId="107A6693" w:rsidR="005B0B5E" w:rsidRPr="005B0B5E" w:rsidRDefault="005B0B5E" w:rsidP="005B0B5E">
      <w:pPr>
        <w:pStyle w:val="ThngthngWeb"/>
        <w:shd w:val="clear" w:color="auto" w:fill="FFFFFF"/>
        <w:spacing w:before="120" w:beforeAutospacing="0" w:after="0" w:afterAutospacing="0"/>
        <w:jc w:val="both"/>
        <w:textAlignment w:val="baseline"/>
        <w:rPr>
          <w:rFonts w:ascii="Work Sans" w:hAnsi="Work Sans"/>
          <w:color w:val="000000" w:themeColor="text1"/>
        </w:rPr>
      </w:pPr>
      <w:r w:rsidRPr="005B0B5E">
        <w:rPr>
          <w:rFonts w:ascii="Work Sans" w:hAnsi="Work Sans"/>
          <w:color w:val="000000" w:themeColor="text1"/>
        </w:rPr>
        <w:t xml:space="preserve">Các sửa đổi bổ sung </w:t>
      </w:r>
      <w:r w:rsidR="00AF0254">
        <w:rPr>
          <w:rFonts w:ascii="Work Sans" w:hAnsi="Work Sans"/>
          <w:color w:val="000000" w:themeColor="text1"/>
        </w:rPr>
        <w:t xml:space="preserve">thêm </w:t>
      </w:r>
      <w:r w:rsidRPr="005B0B5E">
        <w:rPr>
          <w:rFonts w:ascii="Work Sans" w:hAnsi="Work Sans"/>
          <w:color w:val="000000" w:themeColor="text1"/>
        </w:rPr>
        <w:t xml:space="preserve">nội dung sau vào đoạn 6.1.1.3 của Chương VI của Bộ luật LSA (Thiết bị </w:t>
      </w:r>
      <w:r w:rsidR="00AF0254">
        <w:rPr>
          <w:rFonts w:ascii="Work Sans" w:hAnsi="Work Sans"/>
          <w:color w:val="000000" w:themeColor="text1"/>
        </w:rPr>
        <w:t>hạ</w:t>
      </w:r>
      <w:r w:rsidRPr="005B0B5E">
        <w:rPr>
          <w:rFonts w:ascii="Work Sans" w:hAnsi="Work Sans"/>
          <w:color w:val="000000" w:themeColor="text1"/>
        </w:rPr>
        <w:t xml:space="preserve"> </w:t>
      </w:r>
      <w:r w:rsidR="00AF0254">
        <w:rPr>
          <w:rFonts w:ascii="Work Sans" w:hAnsi="Work Sans"/>
          <w:color w:val="000000" w:themeColor="text1"/>
        </w:rPr>
        <w:t xml:space="preserve">xuồng </w:t>
      </w:r>
      <w:r w:rsidRPr="005B0B5E">
        <w:rPr>
          <w:rFonts w:ascii="Work Sans" w:hAnsi="Work Sans"/>
          <w:color w:val="000000" w:themeColor="text1"/>
        </w:rPr>
        <w:t xml:space="preserve">và </w:t>
      </w:r>
      <w:r w:rsidR="00AF0254">
        <w:rPr>
          <w:rFonts w:ascii="Work Sans" w:hAnsi="Work Sans"/>
          <w:color w:val="000000" w:themeColor="text1"/>
        </w:rPr>
        <w:t>đón người xuống xuồng</w:t>
      </w:r>
      <w:r w:rsidRPr="005B0B5E">
        <w:rPr>
          <w:rFonts w:ascii="Work Sans" w:hAnsi="Work Sans"/>
          <w:color w:val="000000" w:themeColor="text1"/>
        </w:rPr>
        <w:t>):</w:t>
      </w:r>
    </w:p>
    <w:p w14:paraId="29B8580C" w14:textId="10D03B8C" w:rsidR="005B0B5E" w:rsidRPr="005B0B5E" w:rsidRDefault="005B0B5E" w:rsidP="005B0B5E">
      <w:pPr>
        <w:pStyle w:val="ThngthngWeb"/>
        <w:shd w:val="clear" w:color="auto" w:fill="FFFFFF"/>
        <w:spacing w:before="0" w:beforeAutospacing="0" w:after="120" w:afterAutospacing="0"/>
        <w:jc w:val="both"/>
        <w:textAlignment w:val="baseline"/>
        <w:rPr>
          <w:rFonts w:ascii="Work Sans" w:hAnsi="Work Sans"/>
          <w:color w:val="000000" w:themeColor="text1"/>
        </w:rPr>
      </w:pPr>
      <w:r w:rsidRPr="005B0B5E">
        <w:rPr>
          <w:rFonts w:ascii="Work Sans" w:hAnsi="Work Sans"/>
          <w:color w:val="000000" w:themeColor="text1"/>
        </w:rPr>
        <w:t xml:space="preserve">Như đã thông báo, thiết bị hạ </w:t>
      </w:r>
      <w:r w:rsidR="00AF0254">
        <w:rPr>
          <w:rFonts w:ascii="Work Sans" w:hAnsi="Work Sans"/>
          <w:color w:val="000000" w:themeColor="text1"/>
        </w:rPr>
        <w:t xml:space="preserve">xuồng </w:t>
      </w:r>
      <w:r w:rsidRPr="005B0B5E">
        <w:rPr>
          <w:rFonts w:ascii="Work Sans" w:hAnsi="Work Sans"/>
          <w:color w:val="000000" w:themeColor="text1"/>
        </w:rPr>
        <w:t xml:space="preserve">không được phụ thuộc vào bất kỳ phương tiện nào khác ngoài trọng lực hoặc năng lượng cơ học dự trữ độc lập với nguồn điện của tàu để hạ phương tiện cứu sinh hoặc xuồng cứu </w:t>
      </w:r>
      <w:r w:rsidR="00AF0254">
        <w:rPr>
          <w:rFonts w:ascii="Work Sans" w:hAnsi="Work Sans"/>
          <w:color w:val="000000" w:themeColor="text1"/>
        </w:rPr>
        <w:t xml:space="preserve">nạn </w:t>
      </w:r>
      <w:r w:rsidRPr="005B0B5E">
        <w:rPr>
          <w:rFonts w:ascii="Work Sans" w:hAnsi="Work Sans"/>
          <w:color w:val="000000" w:themeColor="text1"/>
        </w:rPr>
        <w:t xml:space="preserve">mà nó phục vụ trong điều kiện đầy tải </w:t>
      </w:r>
      <w:r w:rsidR="00AF0254">
        <w:rPr>
          <w:rFonts w:ascii="Work Sans" w:hAnsi="Work Sans"/>
          <w:color w:val="000000" w:themeColor="text1"/>
        </w:rPr>
        <w:t xml:space="preserve">và đủ các thiết bị </w:t>
      </w:r>
      <w:r w:rsidRPr="005B0B5E">
        <w:rPr>
          <w:rFonts w:ascii="Work Sans" w:hAnsi="Work Sans"/>
          <w:color w:val="000000" w:themeColor="text1"/>
        </w:rPr>
        <w:t xml:space="preserve">cũng như trong điều kiện nhẹ </w:t>
      </w:r>
      <w:r w:rsidR="00AF0254">
        <w:rPr>
          <w:rFonts w:ascii="Work Sans" w:hAnsi="Work Sans"/>
          <w:color w:val="000000" w:themeColor="text1"/>
        </w:rPr>
        <w:t>tải</w:t>
      </w:r>
      <w:r w:rsidRPr="005B0B5E">
        <w:rPr>
          <w:rFonts w:ascii="Work Sans" w:hAnsi="Work Sans"/>
          <w:color w:val="000000" w:themeColor="text1"/>
        </w:rPr>
        <w:t>.</w:t>
      </w:r>
    </w:p>
    <w:p w14:paraId="22682631" w14:textId="7B2858D8" w:rsidR="005B0B5E" w:rsidRPr="005B0B5E" w:rsidRDefault="00AF0254" w:rsidP="005B0B5E">
      <w:pPr>
        <w:pStyle w:val="ThngthngWeb"/>
        <w:shd w:val="clear" w:color="auto" w:fill="FFFFFF"/>
        <w:spacing w:before="0" w:beforeAutospacing="0" w:after="300" w:afterAutospacing="0"/>
        <w:jc w:val="both"/>
        <w:textAlignment w:val="baseline"/>
        <w:rPr>
          <w:rFonts w:ascii="Work Sans" w:hAnsi="Work Sans"/>
          <w:color w:val="000000" w:themeColor="text1"/>
        </w:rPr>
      </w:pPr>
      <w:r>
        <w:rPr>
          <w:rFonts w:ascii="Work Sans" w:hAnsi="Work Sans"/>
          <w:color w:val="000000" w:themeColor="text1"/>
        </w:rPr>
        <w:t>Bất kể quy định nêu trên</w:t>
      </w:r>
      <w:r w:rsidR="005B0B5E" w:rsidRPr="005B0B5E">
        <w:rPr>
          <w:rFonts w:ascii="Work Sans" w:hAnsi="Work Sans"/>
          <w:color w:val="000000" w:themeColor="text1"/>
        </w:rPr>
        <w:t xml:space="preserve">, trên các tàu hàng có trang bị </w:t>
      </w:r>
      <w:r>
        <w:rPr>
          <w:rFonts w:ascii="Work Sans" w:hAnsi="Work Sans"/>
          <w:color w:val="000000" w:themeColor="text1"/>
        </w:rPr>
        <w:t xml:space="preserve">một </w:t>
      </w:r>
      <w:r w:rsidR="005B0B5E" w:rsidRPr="005B0B5E">
        <w:rPr>
          <w:rFonts w:ascii="Work Sans" w:hAnsi="Work Sans"/>
          <w:color w:val="000000" w:themeColor="text1"/>
        </w:rPr>
        <w:t xml:space="preserve">xuồng cứu </w:t>
      </w:r>
      <w:r>
        <w:rPr>
          <w:rFonts w:ascii="Work Sans" w:hAnsi="Work Sans"/>
          <w:color w:val="000000" w:themeColor="text1"/>
        </w:rPr>
        <w:t xml:space="preserve">nạn </w:t>
      </w:r>
      <w:r w:rsidR="005438CE">
        <w:rPr>
          <w:rFonts w:ascii="Work Sans" w:hAnsi="Work Sans"/>
          <w:color w:val="000000" w:themeColor="text1"/>
        </w:rPr>
        <w:t xml:space="preserve">nhưng </w:t>
      </w:r>
      <w:r w:rsidR="005B0B5E" w:rsidRPr="005B0B5E">
        <w:rPr>
          <w:rFonts w:ascii="Work Sans" w:hAnsi="Work Sans"/>
          <w:color w:val="000000" w:themeColor="text1"/>
        </w:rPr>
        <w:t xml:space="preserve">không phải là một trong những phương tiện cứu sinh của tàu, có khối </w:t>
      </w:r>
      <w:r w:rsidR="005B0B5E" w:rsidRPr="005B0B5E">
        <w:rPr>
          <w:rFonts w:ascii="Work Sans" w:hAnsi="Work Sans"/>
          <w:color w:val="000000" w:themeColor="text1"/>
        </w:rPr>
        <w:lastRenderedPageBreak/>
        <w:t xml:space="preserve">lượng không quá 700kg ở trạng thái </w:t>
      </w:r>
      <w:r w:rsidR="005438CE">
        <w:rPr>
          <w:rFonts w:ascii="Work Sans" w:hAnsi="Work Sans"/>
          <w:color w:val="000000" w:themeColor="text1"/>
        </w:rPr>
        <w:t xml:space="preserve">được </w:t>
      </w:r>
      <w:r w:rsidR="005B0B5E" w:rsidRPr="005B0B5E">
        <w:rPr>
          <w:rFonts w:ascii="Work Sans" w:hAnsi="Work Sans"/>
          <w:color w:val="000000" w:themeColor="text1"/>
        </w:rPr>
        <w:t xml:space="preserve">trang bị đầy đủ, có động cơ nhưng không có thuyền viên thì thiết bị hạ của xuồng không cần phải </w:t>
      </w:r>
      <w:r w:rsidR="005438CE">
        <w:rPr>
          <w:rFonts w:ascii="Work Sans" w:hAnsi="Work Sans"/>
          <w:color w:val="000000" w:themeColor="text1"/>
        </w:rPr>
        <w:t>có bộ phận</w:t>
      </w:r>
      <w:r w:rsidR="005B0B5E" w:rsidRPr="005B0B5E">
        <w:rPr>
          <w:rFonts w:ascii="Work Sans" w:hAnsi="Work Sans"/>
          <w:color w:val="000000" w:themeColor="text1"/>
        </w:rPr>
        <w:t xml:space="preserve"> năng lượng cơ học dự trữ với điều kiện:</w:t>
      </w:r>
    </w:p>
    <w:p w14:paraId="230BA31D" w14:textId="7BFEF17E" w:rsidR="005B0B5E" w:rsidRPr="005B0B5E" w:rsidRDefault="005438CE" w:rsidP="005438CE">
      <w:pPr>
        <w:pStyle w:val="ThngthngWeb"/>
        <w:numPr>
          <w:ilvl w:val="0"/>
          <w:numId w:val="3"/>
        </w:numPr>
        <w:shd w:val="clear" w:color="auto" w:fill="FFFFFF"/>
        <w:spacing w:after="300"/>
        <w:textAlignment w:val="baseline"/>
        <w:rPr>
          <w:rFonts w:ascii="Work Sans" w:hAnsi="Work Sans"/>
          <w:color w:val="333333"/>
        </w:rPr>
      </w:pPr>
      <w:r>
        <w:rPr>
          <w:rFonts w:ascii="Work Sans" w:hAnsi="Work Sans"/>
          <w:color w:val="333333"/>
        </w:rPr>
        <w:t>Việc</w:t>
      </w:r>
      <w:r w:rsidR="005B0B5E" w:rsidRPr="005B0B5E">
        <w:rPr>
          <w:rFonts w:ascii="Work Sans" w:hAnsi="Work Sans"/>
          <w:color w:val="333333"/>
        </w:rPr>
        <w:t xml:space="preserve"> nâng </w:t>
      </w:r>
      <w:r>
        <w:rPr>
          <w:rFonts w:ascii="Work Sans" w:hAnsi="Work Sans"/>
          <w:color w:val="333333"/>
        </w:rPr>
        <w:t>thủ công</w:t>
      </w:r>
      <w:r w:rsidR="005B0B5E" w:rsidRPr="005B0B5E">
        <w:rPr>
          <w:rFonts w:ascii="Work Sans" w:hAnsi="Work Sans"/>
          <w:color w:val="333333"/>
        </w:rPr>
        <w:t xml:space="preserve"> từ vị trí </w:t>
      </w:r>
      <w:r>
        <w:rPr>
          <w:rFonts w:ascii="Work Sans" w:hAnsi="Work Sans"/>
          <w:color w:val="333333"/>
        </w:rPr>
        <w:t>đặt xuồng lên</w:t>
      </w:r>
      <w:r w:rsidR="005B0B5E" w:rsidRPr="005B0B5E">
        <w:rPr>
          <w:rFonts w:ascii="Work Sans" w:hAnsi="Work Sans"/>
          <w:color w:val="333333"/>
        </w:rPr>
        <w:t xml:space="preserve"> và </w:t>
      </w:r>
      <w:r>
        <w:rPr>
          <w:rFonts w:ascii="Work Sans" w:hAnsi="Work Sans"/>
          <w:color w:val="333333"/>
        </w:rPr>
        <w:t>xoay</w:t>
      </w:r>
      <w:r w:rsidR="005B0B5E" w:rsidRPr="005B0B5E">
        <w:rPr>
          <w:rFonts w:ascii="Work Sans" w:hAnsi="Work Sans"/>
          <w:color w:val="333333"/>
        </w:rPr>
        <w:t xml:space="preserve"> sang vị trí </w:t>
      </w:r>
      <w:r>
        <w:rPr>
          <w:rFonts w:ascii="Work Sans" w:hAnsi="Work Sans"/>
          <w:color w:val="333333"/>
        </w:rPr>
        <w:t>đón người có thể thực hiện được bằng một người</w:t>
      </w:r>
      <w:r w:rsidR="005B0B5E" w:rsidRPr="005B0B5E">
        <w:rPr>
          <w:rFonts w:ascii="Work Sans" w:hAnsi="Work Sans"/>
          <w:color w:val="333333"/>
        </w:rPr>
        <w:t>.</w:t>
      </w:r>
    </w:p>
    <w:p w14:paraId="107D4783" w14:textId="3014B0B2" w:rsidR="005B0B5E" w:rsidRPr="005B0B5E" w:rsidRDefault="005B0B5E" w:rsidP="005438CE">
      <w:pPr>
        <w:pStyle w:val="ThngthngWeb"/>
        <w:numPr>
          <w:ilvl w:val="0"/>
          <w:numId w:val="3"/>
        </w:numPr>
        <w:shd w:val="clear" w:color="auto" w:fill="FFFFFF"/>
        <w:spacing w:after="300"/>
        <w:jc w:val="both"/>
        <w:textAlignment w:val="baseline"/>
        <w:rPr>
          <w:rFonts w:ascii="Work Sans" w:hAnsi="Work Sans"/>
          <w:color w:val="333333"/>
        </w:rPr>
      </w:pPr>
      <w:r w:rsidRPr="005B0B5E">
        <w:rPr>
          <w:rFonts w:ascii="Work Sans" w:hAnsi="Work Sans"/>
          <w:color w:val="333333"/>
        </w:rPr>
        <w:t xml:space="preserve">Lực </w:t>
      </w:r>
      <w:r w:rsidR="005438CE">
        <w:rPr>
          <w:rFonts w:ascii="Work Sans" w:hAnsi="Work Sans"/>
          <w:color w:val="333333"/>
        </w:rPr>
        <w:t>trên</w:t>
      </w:r>
      <w:r w:rsidRPr="005B0B5E">
        <w:rPr>
          <w:rFonts w:ascii="Work Sans" w:hAnsi="Work Sans"/>
          <w:color w:val="333333"/>
        </w:rPr>
        <w:t xml:space="preserve"> tay quay không vượt quá 150N ở bán kính tay quay tối đa 350mm; Và</w:t>
      </w:r>
    </w:p>
    <w:p w14:paraId="312D1401" w14:textId="0FE125EC" w:rsidR="005B0B5E" w:rsidRPr="005B0B5E" w:rsidRDefault="005B0B5E" w:rsidP="005438CE">
      <w:pPr>
        <w:pStyle w:val="ThngthngWeb"/>
        <w:numPr>
          <w:ilvl w:val="0"/>
          <w:numId w:val="3"/>
        </w:numPr>
        <w:shd w:val="clear" w:color="auto" w:fill="FFFFFF"/>
        <w:spacing w:after="300"/>
        <w:jc w:val="both"/>
        <w:textAlignment w:val="baseline"/>
        <w:rPr>
          <w:rFonts w:ascii="Work Sans" w:hAnsi="Work Sans"/>
          <w:color w:val="333333"/>
        </w:rPr>
      </w:pPr>
      <w:r w:rsidRPr="005B0B5E">
        <w:rPr>
          <w:rFonts w:ascii="Work Sans" w:hAnsi="Work Sans"/>
          <w:color w:val="333333"/>
        </w:rPr>
        <w:t xml:space="preserve">Phải trang bị các </w:t>
      </w:r>
      <w:r w:rsidR="005438CE">
        <w:rPr>
          <w:rFonts w:ascii="Work Sans" w:hAnsi="Work Sans"/>
          <w:color w:val="333333"/>
        </w:rPr>
        <w:t>dụng cụ</w:t>
      </w:r>
      <w:r w:rsidRPr="005B0B5E">
        <w:rPr>
          <w:rFonts w:ascii="Work Sans" w:hAnsi="Work Sans"/>
          <w:color w:val="333333"/>
        </w:rPr>
        <w:t xml:space="preserve"> đủ bền như </w:t>
      </w:r>
      <w:r w:rsidR="005438CE">
        <w:rPr>
          <w:rFonts w:ascii="Work Sans" w:hAnsi="Work Sans"/>
          <w:color w:val="333333"/>
        </w:rPr>
        <w:t xml:space="preserve">các </w:t>
      </w:r>
      <w:r w:rsidRPr="005B0B5E">
        <w:rPr>
          <w:rFonts w:ascii="Work Sans" w:hAnsi="Work Sans"/>
          <w:color w:val="333333"/>
        </w:rPr>
        <w:t xml:space="preserve">dây </w:t>
      </w:r>
      <w:r w:rsidR="005438CE">
        <w:rPr>
          <w:rFonts w:ascii="Work Sans" w:hAnsi="Work Sans"/>
          <w:color w:val="333333"/>
        </w:rPr>
        <w:t>giữ</w:t>
      </w:r>
      <w:r w:rsidRPr="005B0B5E">
        <w:rPr>
          <w:rFonts w:ascii="Work Sans" w:hAnsi="Work Sans"/>
          <w:color w:val="333333"/>
        </w:rPr>
        <w:t xml:space="preserve"> để </w:t>
      </w:r>
      <w:r w:rsidR="005438CE">
        <w:rPr>
          <w:rFonts w:ascii="Work Sans" w:hAnsi="Work Sans"/>
          <w:color w:val="333333"/>
        </w:rPr>
        <w:t>đưa</w:t>
      </w:r>
      <w:r w:rsidRPr="005B0B5E">
        <w:rPr>
          <w:rFonts w:ascii="Work Sans" w:hAnsi="Work Sans"/>
          <w:color w:val="333333"/>
        </w:rPr>
        <w:t xml:space="preserve"> xuồng cứu </w:t>
      </w:r>
      <w:r w:rsidR="005438CE">
        <w:rPr>
          <w:rFonts w:ascii="Work Sans" w:hAnsi="Work Sans"/>
          <w:color w:val="333333"/>
        </w:rPr>
        <w:t xml:space="preserve">nạn </w:t>
      </w:r>
      <w:r w:rsidRPr="005B0B5E">
        <w:rPr>
          <w:rFonts w:ascii="Work Sans" w:hAnsi="Work Sans"/>
          <w:color w:val="333333"/>
        </w:rPr>
        <w:t xml:space="preserve">áp vào mạn tàu và giữ </w:t>
      </w:r>
      <w:r w:rsidR="005438CE">
        <w:rPr>
          <w:rFonts w:ascii="Work Sans" w:hAnsi="Work Sans"/>
          <w:color w:val="333333"/>
        </w:rPr>
        <w:t xml:space="preserve">cho nó nằm </w:t>
      </w:r>
      <w:r w:rsidRPr="005B0B5E">
        <w:rPr>
          <w:rFonts w:ascii="Work Sans" w:hAnsi="Work Sans"/>
          <w:color w:val="333333"/>
        </w:rPr>
        <w:t xml:space="preserve">dọc mạn tàu để người có thể </w:t>
      </w:r>
      <w:r w:rsidR="005438CE">
        <w:rPr>
          <w:rFonts w:ascii="Work Sans" w:hAnsi="Work Sans"/>
          <w:color w:val="333333"/>
        </w:rPr>
        <w:t>vào xuồng</w:t>
      </w:r>
      <w:r w:rsidRPr="005B0B5E">
        <w:rPr>
          <w:rFonts w:ascii="Work Sans" w:hAnsi="Work Sans"/>
          <w:color w:val="333333"/>
        </w:rPr>
        <w:t xml:space="preserve"> an toàn.</w:t>
      </w:r>
    </w:p>
    <w:p w14:paraId="296532AC" w14:textId="3F0C6F93" w:rsidR="005B0B5E" w:rsidRPr="002432D8" w:rsidRDefault="002432D8" w:rsidP="002432D8">
      <w:pPr>
        <w:pStyle w:val="ThngthngWeb"/>
        <w:shd w:val="clear" w:color="auto" w:fill="FFFFFF"/>
        <w:spacing w:before="0" w:beforeAutospacing="0" w:after="120" w:afterAutospacing="0"/>
        <w:textAlignment w:val="baseline"/>
        <w:rPr>
          <w:rFonts w:ascii="Work Sans" w:hAnsi="Work Sans"/>
          <w:b/>
          <w:bCs/>
          <w:color w:val="000000" w:themeColor="text1"/>
        </w:rPr>
      </w:pPr>
      <w:r w:rsidRPr="002432D8">
        <w:rPr>
          <w:rFonts w:ascii="Work Sans" w:hAnsi="Work Sans"/>
          <w:b/>
          <w:bCs/>
          <w:color w:val="000000" w:themeColor="text1"/>
        </w:rPr>
        <w:t>Những cơ cấu</w:t>
      </w:r>
      <w:r w:rsidR="005B0B5E" w:rsidRPr="002432D8">
        <w:rPr>
          <w:rFonts w:ascii="Work Sans" w:hAnsi="Work Sans"/>
          <w:b/>
          <w:bCs/>
          <w:color w:val="000000" w:themeColor="text1"/>
        </w:rPr>
        <w:t xml:space="preserve"> tương đương</w:t>
      </w:r>
    </w:p>
    <w:p w14:paraId="3CD7BEC2" w14:textId="26C6D45A" w:rsidR="005B0B5E" w:rsidRPr="002432D8" w:rsidRDefault="005B0B5E" w:rsidP="002432D8">
      <w:pPr>
        <w:pStyle w:val="ThngthngWeb"/>
        <w:shd w:val="clear" w:color="auto" w:fill="FFFFFF"/>
        <w:spacing w:before="0" w:beforeAutospacing="0" w:after="300" w:afterAutospacing="0"/>
        <w:jc w:val="both"/>
        <w:textAlignment w:val="baseline"/>
        <w:rPr>
          <w:rFonts w:ascii="Work Sans" w:hAnsi="Work Sans"/>
          <w:color w:val="000000" w:themeColor="text1"/>
        </w:rPr>
      </w:pPr>
      <w:r w:rsidRPr="002432D8">
        <w:rPr>
          <w:rFonts w:ascii="Work Sans" w:hAnsi="Work Sans"/>
          <w:color w:val="000000" w:themeColor="text1"/>
        </w:rPr>
        <w:t xml:space="preserve">Nhiều Chính quyền hành chính </w:t>
      </w:r>
      <w:r w:rsidR="002432D8" w:rsidRPr="002432D8">
        <w:rPr>
          <w:rFonts w:ascii="Work Sans" w:hAnsi="Work Sans"/>
          <w:color w:val="000000" w:themeColor="text1"/>
        </w:rPr>
        <w:t>của nước tàu mang</w:t>
      </w:r>
      <w:r w:rsidRPr="002432D8">
        <w:rPr>
          <w:rFonts w:ascii="Work Sans" w:hAnsi="Work Sans"/>
          <w:color w:val="000000" w:themeColor="text1"/>
        </w:rPr>
        <w:t xml:space="preserve"> cờ trước đây đã chấp nhận các </w:t>
      </w:r>
      <w:r w:rsidR="002432D8" w:rsidRPr="002432D8">
        <w:rPr>
          <w:rFonts w:ascii="Work Sans" w:hAnsi="Work Sans"/>
          <w:color w:val="000000" w:themeColor="text1"/>
        </w:rPr>
        <w:t>cơ cấu</w:t>
      </w:r>
      <w:r w:rsidRPr="002432D8">
        <w:rPr>
          <w:rFonts w:ascii="Work Sans" w:hAnsi="Work Sans"/>
          <w:color w:val="000000" w:themeColor="text1"/>
        </w:rPr>
        <w:t xml:space="preserve"> hạ xuồng cứu </w:t>
      </w:r>
      <w:r w:rsidR="002432D8" w:rsidRPr="002432D8">
        <w:rPr>
          <w:rFonts w:ascii="Work Sans" w:hAnsi="Work Sans"/>
          <w:color w:val="000000" w:themeColor="text1"/>
        </w:rPr>
        <w:t>nạn</w:t>
      </w:r>
      <w:r w:rsidRPr="002432D8">
        <w:rPr>
          <w:rFonts w:ascii="Work Sans" w:hAnsi="Work Sans"/>
          <w:color w:val="000000" w:themeColor="text1"/>
        </w:rPr>
        <w:t xml:space="preserve"> không được trang bị năng lượng cơ học dự trữ, dựa trên </w:t>
      </w:r>
      <w:r w:rsidR="002432D8" w:rsidRPr="002432D8">
        <w:rPr>
          <w:rFonts w:ascii="Work Sans" w:hAnsi="Work Sans"/>
          <w:color w:val="000000" w:themeColor="text1"/>
        </w:rPr>
        <w:t xml:space="preserve">quy định về </w:t>
      </w:r>
      <w:r w:rsidRPr="002432D8">
        <w:rPr>
          <w:rFonts w:ascii="Work Sans" w:hAnsi="Work Sans"/>
          <w:color w:val="000000" w:themeColor="text1"/>
        </w:rPr>
        <w:t>“</w:t>
      </w:r>
      <w:r w:rsidR="002432D8" w:rsidRPr="002432D8">
        <w:rPr>
          <w:rFonts w:ascii="Work Sans" w:hAnsi="Work Sans"/>
          <w:color w:val="000000" w:themeColor="text1"/>
        </w:rPr>
        <w:t>Các cơ cấu</w:t>
      </w:r>
      <w:r w:rsidRPr="002432D8">
        <w:rPr>
          <w:rFonts w:ascii="Work Sans" w:hAnsi="Work Sans"/>
          <w:color w:val="000000" w:themeColor="text1"/>
        </w:rPr>
        <w:t xml:space="preserve"> tương đương”. Những </w:t>
      </w:r>
      <w:r w:rsidR="002432D8" w:rsidRPr="002432D8">
        <w:rPr>
          <w:rFonts w:ascii="Work Sans" w:hAnsi="Work Sans"/>
          <w:color w:val="000000" w:themeColor="text1"/>
        </w:rPr>
        <w:t>cơ cấu</w:t>
      </w:r>
      <w:r w:rsidRPr="002432D8">
        <w:rPr>
          <w:rFonts w:ascii="Work Sans" w:hAnsi="Work Sans"/>
          <w:color w:val="000000" w:themeColor="text1"/>
        </w:rPr>
        <w:t xml:space="preserve"> như vậy do Chính quyền </w:t>
      </w:r>
      <w:r w:rsidR="002432D8" w:rsidRPr="002432D8">
        <w:rPr>
          <w:rFonts w:ascii="Work Sans" w:hAnsi="Work Sans"/>
          <w:color w:val="000000" w:themeColor="text1"/>
        </w:rPr>
        <w:t xml:space="preserve">của nước tàu mang </w:t>
      </w:r>
      <w:r w:rsidRPr="002432D8">
        <w:rPr>
          <w:rFonts w:ascii="Work Sans" w:hAnsi="Work Sans"/>
          <w:color w:val="000000" w:themeColor="text1"/>
        </w:rPr>
        <w:t xml:space="preserve">cờ công bố dự kiến sẽ tiếp tục áp dụng cho các </w:t>
      </w:r>
      <w:r w:rsidR="002432D8" w:rsidRPr="002432D8">
        <w:rPr>
          <w:rFonts w:ascii="Work Sans" w:hAnsi="Work Sans"/>
          <w:color w:val="000000" w:themeColor="text1"/>
        </w:rPr>
        <w:t>xuồng</w:t>
      </w:r>
      <w:r w:rsidRPr="002432D8">
        <w:rPr>
          <w:rFonts w:ascii="Work Sans" w:hAnsi="Work Sans"/>
          <w:color w:val="000000" w:themeColor="text1"/>
        </w:rPr>
        <w:t xml:space="preserve"> cứu </w:t>
      </w:r>
      <w:r w:rsidR="002432D8" w:rsidRPr="002432D8">
        <w:rPr>
          <w:rFonts w:ascii="Work Sans" w:hAnsi="Work Sans"/>
          <w:color w:val="000000" w:themeColor="text1"/>
        </w:rPr>
        <w:t>nạn</w:t>
      </w:r>
      <w:r w:rsidRPr="002432D8">
        <w:rPr>
          <w:rFonts w:ascii="Work Sans" w:hAnsi="Work Sans"/>
          <w:color w:val="000000" w:themeColor="text1"/>
        </w:rPr>
        <w:t xml:space="preserve"> được </w:t>
      </w:r>
      <w:r w:rsidR="002432D8" w:rsidRPr="002432D8">
        <w:rPr>
          <w:rFonts w:ascii="Work Sans" w:hAnsi="Work Sans"/>
          <w:color w:val="000000" w:themeColor="text1"/>
        </w:rPr>
        <w:t>trang bị</w:t>
      </w:r>
      <w:r w:rsidRPr="002432D8">
        <w:rPr>
          <w:rFonts w:ascii="Work Sans" w:hAnsi="Work Sans"/>
          <w:color w:val="000000" w:themeColor="text1"/>
        </w:rPr>
        <w:t xml:space="preserve"> trên </w:t>
      </w:r>
      <w:r w:rsidR="002432D8" w:rsidRPr="002432D8">
        <w:rPr>
          <w:rFonts w:ascii="Work Sans" w:hAnsi="Work Sans"/>
          <w:color w:val="000000" w:themeColor="text1"/>
        </w:rPr>
        <w:t xml:space="preserve">các </w:t>
      </w:r>
      <w:r w:rsidRPr="002432D8">
        <w:rPr>
          <w:rFonts w:ascii="Work Sans" w:hAnsi="Work Sans"/>
          <w:color w:val="000000" w:themeColor="text1"/>
        </w:rPr>
        <w:t>tàu trước ngày 1 tháng 1 năm 2024.</w:t>
      </w:r>
    </w:p>
    <w:p w14:paraId="1ECBEE44" w14:textId="07610FA5" w:rsidR="002B4D23" w:rsidRDefault="002432D8" w:rsidP="002B4D23">
      <w:pPr>
        <w:pStyle w:val="ThngthngWeb"/>
        <w:shd w:val="clear" w:color="auto" w:fill="FFFFFF"/>
        <w:spacing w:before="0" w:beforeAutospacing="0" w:after="300" w:afterAutospacing="0"/>
        <w:textAlignment w:val="baseline"/>
        <w:rPr>
          <w:rFonts w:ascii="Work Sans" w:hAnsi="Work Sans"/>
          <w:color w:val="333333"/>
        </w:rPr>
      </w:pPr>
      <w:r w:rsidRPr="002432D8">
        <w:rPr>
          <w:rFonts w:ascii="Work Sans" w:hAnsi="Work Sans"/>
          <w:color w:val="000000" w:themeColor="text1"/>
        </w:rPr>
        <w:t>Xem chi tiết về Sửa đổi này của IMO tại</w:t>
      </w:r>
      <w:r>
        <w:rPr>
          <w:rFonts w:ascii="Work Sans" w:hAnsi="Work Sans"/>
          <w:color w:val="333333"/>
        </w:rPr>
        <w:t xml:space="preserve">: </w:t>
      </w:r>
      <w:hyperlink r:id="rId6" w:history="1">
        <w:r w:rsidRPr="003C3CBA">
          <w:rPr>
            <w:rStyle w:val="Siuktni"/>
            <w:rFonts w:ascii="Work Sans" w:hAnsi="Work Sans"/>
          </w:rPr>
          <w:t>https://safety4sea.com/wp-content/uploads/2023/09/LR-The-IMO-2009-Hong-Kong-Convention-for-the-safe-an</w:t>
        </w:r>
        <w:r w:rsidRPr="003C3CBA">
          <w:rPr>
            <w:rStyle w:val="Siuktni"/>
            <w:rFonts w:ascii="Work Sans" w:hAnsi="Work Sans"/>
          </w:rPr>
          <w:t>d</w:t>
        </w:r>
        <w:r w:rsidRPr="003C3CBA">
          <w:rPr>
            <w:rStyle w:val="Siuktni"/>
            <w:rFonts w:ascii="Work Sans" w:hAnsi="Work Sans"/>
          </w:rPr>
          <w:t>-environmentally-sound-recycling-of-ships_2023_09.pdf</w:t>
        </w:r>
      </w:hyperlink>
    </w:p>
    <w:p w14:paraId="29B27FFA" w14:textId="3618F92C" w:rsidR="002432D8" w:rsidRDefault="002432D8" w:rsidP="002432D8">
      <w:pPr>
        <w:pStyle w:val="ThngthngWeb"/>
        <w:shd w:val="clear" w:color="auto" w:fill="FFFFFF"/>
        <w:spacing w:before="0" w:beforeAutospacing="0" w:after="300" w:afterAutospacing="0"/>
        <w:jc w:val="center"/>
        <w:textAlignment w:val="baseline"/>
        <w:rPr>
          <w:rFonts w:ascii="Work Sans" w:hAnsi="Work Sans"/>
          <w:color w:val="333333"/>
        </w:rPr>
      </w:pPr>
      <w:r>
        <w:rPr>
          <w:rFonts w:ascii="Work Sans" w:hAnsi="Work Sans"/>
          <w:color w:val="333333"/>
        </w:rPr>
        <w:t>------------------------------</w:t>
      </w:r>
    </w:p>
    <w:p w14:paraId="3164B9E9" w14:textId="77777777" w:rsidR="002B4D23" w:rsidRDefault="002B4D23" w:rsidP="002B4D23">
      <w:pPr>
        <w:pStyle w:val="ThngthngWeb"/>
        <w:shd w:val="clear" w:color="auto" w:fill="FFFFFF"/>
        <w:spacing w:before="0" w:beforeAutospacing="0" w:after="300" w:afterAutospacing="0"/>
        <w:textAlignment w:val="baseline"/>
        <w:rPr>
          <w:rFonts w:ascii="Work Sans" w:hAnsi="Work Sans"/>
          <w:color w:val="333333"/>
        </w:rPr>
      </w:pPr>
    </w:p>
    <w:p w14:paraId="54CD1716" w14:textId="77777777" w:rsidR="002B4D23" w:rsidRPr="002B4D23" w:rsidRDefault="002B4D23">
      <w:pPr>
        <w:rPr>
          <w:sz w:val="28"/>
          <w:szCs w:val="28"/>
        </w:rPr>
      </w:pPr>
    </w:p>
    <w:sectPr w:rsidR="002B4D23" w:rsidRPr="002B4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95AA7"/>
    <w:multiLevelType w:val="hybridMultilevel"/>
    <w:tmpl w:val="AE7A2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FA4BE4"/>
    <w:multiLevelType w:val="multilevel"/>
    <w:tmpl w:val="3E3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6C67FF"/>
    <w:multiLevelType w:val="hybridMultilevel"/>
    <w:tmpl w:val="FF5E4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963150">
    <w:abstractNumId w:val="1"/>
  </w:num>
  <w:num w:numId="2" w16cid:durableId="469178388">
    <w:abstractNumId w:val="2"/>
  </w:num>
  <w:num w:numId="3" w16cid:durableId="47837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3"/>
    <w:rsid w:val="0024192E"/>
    <w:rsid w:val="002432D8"/>
    <w:rsid w:val="002B4D23"/>
    <w:rsid w:val="005438CE"/>
    <w:rsid w:val="005B0B5E"/>
    <w:rsid w:val="009C7613"/>
    <w:rsid w:val="00AF0254"/>
    <w:rsid w:val="00F8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B210"/>
  <w15:chartTrackingRefBased/>
  <w15:docId w15:val="{1A984E93-42BB-4D55-8E9B-EA869A81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B4D2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2B4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B4D23"/>
    <w:rPr>
      <w:rFonts w:ascii="Times New Roman" w:eastAsia="Times New Roman" w:hAnsi="Times New Roman" w:cs="Times New Roman"/>
      <w:b/>
      <w:bCs/>
      <w:kern w:val="36"/>
      <w:sz w:val="48"/>
      <w:szCs w:val="48"/>
      <w:lang w:val="en-GB" w:eastAsia="en-GB"/>
      <w14:ligatures w14:val="none"/>
    </w:rPr>
  </w:style>
  <w:style w:type="character" w:customStyle="1" w:styleId="u3Char">
    <w:name w:val="Đầu đề 3 Char"/>
    <w:basedOn w:val="Phngmcinhcuaoanvn"/>
    <w:link w:val="u3"/>
    <w:uiPriority w:val="9"/>
    <w:semiHidden/>
    <w:rsid w:val="002B4D23"/>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semiHidden/>
    <w:unhideWhenUsed/>
    <w:rsid w:val="002B4D2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2B4D23"/>
  </w:style>
  <w:style w:type="character" w:styleId="Manh">
    <w:name w:val="Strong"/>
    <w:basedOn w:val="Phngmcinhcuaoanvn"/>
    <w:uiPriority w:val="22"/>
    <w:qFormat/>
    <w:rsid w:val="002B4D23"/>
    <w:rPr>
      <w:b/>
      <w:bCs/>
    </w:rPr>
  </w:style>
  <w:style w:type="character" w:styleId="Siuktni">
    <w:name w:val="Hyperlink"/>
    <w:basedOn w:val="Phngmcinhcuaoanvn"/>
    <w:uiPriority w:val="99"/>
    <w:unhideWhenUsed/>
    <w:rsid w:val="002B4D23"/>
    <w:rPr>
      <w:color w:val="0000FF"/>
      <w:u w:val="single"/>
    </w:rPr>
  </w:style>
  <w:style w:type="character" w:styleId="cpChagiiquyt">
    <w:name w:val="Unresolved Mention"/>
    <w:basedOn w:val="Phngmcinhcuaoanvn"/>
    <w:uiPriority w:val="99"/>
    <w:semiHidden/>
    <w:unhideWhenUsed/>
    <w:rsid w:val="002B4D23"/>
    <w:rPr>
      <w:color w:val="605E5C"/>
      <w:shd w:val="clear" w:color="auto" w:fill="E1DFDD"/>
    </w:rPr>
  </w:style>
  <w:style w:type="character" w:styleId="FollowedHyperlink">
    <w:name w:val="FollowedHyperlink"/>
    <w:basedOn w:val="Phngmcinhcuaoanvn"/>
    <w:uiPriority w:val="99"/>
    <w:semiHidden/>
    <w:unhideWhenUsed/>
    <w:rsid w:val="002B4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8819">
      <w:bodyDiv w:val="1"/>
      <w:marLeft w:val="0"/>
      <w:marRight w:val="0"/>
      <w:marTop w:val="0"/>
      <w:marBottom w:val="0"/>
      <w:divBdr>
        <w:top w:val="none" w:sz="0" w:space="0" w:color="auto"/>
        <w:left w:val="none" w:sz="0" w:space="0" w:color="auto"/>
        <w:bottom w:val="none" w:sz="0" w:space="0" w:color="auto"/>
        <w:right w:val="none" w:sz="0" w:space="0" w:color="auto"/>
      </w:divBdr>
    </w:div>
    <w:div w:id="1786268322">
      <w:bodyDiv w:val="1"/>
      <w:marLeft w:val="0"/>
      <w:marRight w:val="0"/>
      <w:marTop w:val="0"/>
      <w:marBottom w:val="0"/>
      <w:divBdr>
        <w:top w:val="none" w:sz="0" w:space="0" w:color="auto"/>
        <w:left w:val="none" w:sz="0" w:space="0" w:color="auto"/>
        <w:bottom w:val="none" w:sz="0" w:space="0" w:color="auto"/>
        <w:right w:val="none" w:sz="0" w:space="0" w:color="auto"/>
      </w:divBdr>
      <w:divsChild>
        <w:div w:id="1605187533">
          <w:marLeft w:val="0"/>
          <w:marRight w:val="0"/>
          <w:marTop w:val="0"/>
          <w:marBottom w:val="0"/>
          <w:divBdr>
            <w:top w:val="none" w:sz="0" w:space="0" w:color="auto"/>
            <w:left w:val="none" w:sz="0" w:space="0" w:color="auto"/>
            <w:bottom w:val="none" w:sz="0" w:space="0" w:color="auto"/>
            <w:right w:val="none" w:sz="0" w:space="0" w:color="auto"/>
          </w:divBdr>
          <w:divsChild>
            <w:div w:id="601109343">
              <w:marLeft w:val="0"/>
              <w:marRight w:val="0"/>
              <w:marTop w:val="0"/>
              <w:marBottom w:val="0"/>
              <w:divBdr>
                <w:top w:val="none" w:sz="0" w:space="0" w:color="auto"/>
                <w:left w:val="none" w:sz="0" w:space="0" w:color="auto"/>
                <w:bottom w:val="none" w:sz="0" w:space="0" w:color="auto"/>
                <w:right w:val="none" w:sz="0" w:space="0" w:color="auto"/>
              </w:divBdr>
              <w:divsChild>
                <w:div w:id="1891959175">
                  <w:marLeft w:val="0"/>
                  <w:marRight w:val="0"/>
                  <w:marTop w:val="0"/>
                  <w:marBottom w:val="300"/>
                  <w:divBdr>
                    <w:top w:val="none" w:sz="0" w:space="0" w:color="auto"/>
                    <w:left w:val="none" w:sz="0" w:space="0" w:color="auto"/>
                    <w:bottom w:val="none" w:sz="0" w:space="0" w:color="auto"/>
                    <w:right w:val="none" w:sz="0" w:space="0" w:color="auto"/>
                  </w:divBdr>
                  <w:divsChild>
                    <w:div w:id="524178322">
                      <w:marLeft w:val="0"/>
                      <w:marRight w:val="0"/>
                      <w:marTop w:val="0"/>
                      <w:marBottom w:val="225"/>
                      <w:divBdr>
                        <w:top w:val="none" w:sz="0" w:space="0" w:color="auto"/>
                        <w:left w:val="none" w:sz="0" w:space="0" w:color="auto"/>
                        <w:bottom w:val="none" w:sz="0" w:space="0" w:color="auto"/>
                        <w:right w:val="none" w:sz="0" w:space="0" w:color="auto"/>
                      </w:divBdr>
                    </w:div>
                    <w:div w:id="546769463">
                      <w:marLeft w:val="0"/>
                      <w:marRight w:val="0"/>
                      <w:marTop w:val="0"/>
                      <w:marBottom w:val="0"/>
                      <w:divBdr>
                        <w:top w:val="none" w:sz="0" w:space="0" w:color="auto"/>
                        <w:left w:val="none" w:sz="0" w:space="0" w:color="auto"/>
                        <w:bottom w:val="none" w:sz="0" w:space="0" w:color="auto"/>
                        <w:right w:val="none" w:sz="0" w:space="0" w:color="auto"/>
                      </w:divBdr>
                      <w:divsChild>
                        <w:div w:id="1193419105">
                          <w:marLeft w:val="0"/>
                          <w:marRight w:val="0"/>
                          <w:marTop w:val="0"/>
                          <w:marBottom w:val="0"/>
                          <w:divBdr>
                            <w:top w:val="none" w:sz="0" w:space="0" w:color="auto"/>
                            <w:left w:val="none" w:sz="0" w:space="0" w:color="auto"/>
                            <w:bottom w:val="none" w:sz="0" w:space="0" w:color="auto"/>
                            <w:right w:val="none" w:sz="0" w:space="0" w:color="auto"/>
                          </w:divBdr>
                          <w:divsChild>
                            <w:div w:id="1865751716">
                              <w:marLeft w:val="0"/>
                              <w:marRight w:val="0"/>
                              <w:marTop w:val="0"/>
                              <w:marBottom w:val="0"/>
                              <w:divBdr>
                                <w:top w:val="none" w:sz="0" w:space="0" w:color="auto"/>
                                <w:left w:val="none" w:sz="0" w:space="0" w:color="auto"/>
                                <w:bottom w:val="none" w:sz="0" w:space="0" w:color="auto"/>
                                <w:right w:val="none" w:sz="0" w:space="0" w:color="auto"/>
                              </w:divBdr>
                              <w:divsChild>
                                <w:div w:id="990183567">
                                  <w:marLeft w:val="0"/>
                                  <w:marRight w:val="0"/>
                                  <w:marTop w:val="0"/>
                                  <w:marBottom w:val="0"/>
                                  <w:divBdr>
                                    <w:top w:val="none" w:sz="0" w:space="0" w:color="auto"/>
                                    <w:left w:val="none" w:sz="0" w:space="0" w:color="auto"/>
                                    <w:bottom w:val="none" w:sz="0" w:space="0" w:color="auto"/>
                                    <w:right w:val="none" w:sz="0" w:space="0" w:color="auto"/>
                                  </w:divBdr>
                                </w:div>
                                <w:div w:id="16662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9/LR-The-IMO-2009-Hong-Kong-Convention-for-the-safe-and-environmentally-sound-recycling-of-ships_2023_0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388</Words>
  <Characters>2213</Characters>
  <Application>Microsoft Office Word</Application>
  <DocSecurity>0</DocSecurity>
  <Lines>18</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2023-09-05T07:34:00Z</dcterms:created>
  <dcterms:modified xsi:type="dcterms:W3CDTF">2023-09-05T08:22:00Z</dcterms:modified>
</cp:coreProperties>
</file>